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Allgemeine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Informationen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Default="00AC60ED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Kurs</w:t>
            </w:r>
            <w:proofErr w:type="spellEnd"/>
          </w:p>
          <w:p w:rsidR="00C86FFF" w:rsidRPr="00F95A32" w:rsidRDefault="0038651A" w:rsidP="00BC1966">
            <w:pPr>
              <w:rPr>
                <w:b/>
              </w:rPr>
            </w:pPr>
            <w:r>
              <w:rPr>
                <w:b/>
              </w:rPr>
              <w:t>KGER/PREDI</w:t>
            </w:r>
            <w:r w:rsidR="00C86FFF">
              <w:rPr>
                <w:b/>
              </w:rPr>
              <w:t>2</w:t>
            </w:r>
            <w:r>
              <w:rPr>
                <w:b/>
              </w:rPr>
              <w:t>/15</w:t>
            </w:r>
          </w:p>
        </w:tc>
        <w:tc>
          <w:tcPr>
            <w:tcW w:w="2980" w:type="dxa"/>
            <w:vMerge w:val="restart"/>
          </w:tcPr>
          <w:p w:rsidR="00BC1966" w:rsidRPr="00F95A32" w:rsidRDefault="00943F7A" w:rsidP="006974D1">
            <w:pPr>
              <w:rPr>
                <w:b/>
              </w:rPr>
            </w:pPr>
            <w:proofErr w:type="spellStart"/>
            <w:r>
              <w:t>Fachdidaktik</w:t>
            </w:r>
            <w:proofErr w:type="spellEnd"/>
            <w:r>
              <w:t xml:space="preserve"> –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</w:t>
            </w:r>
            <w:proofErr w:type="spellStart"/>
            <w:r>
              <w:t>Fremdsprache</w:t>
            </w:r>
            <w:proofErr w:type="spellEnd"/>
            <w:r w:rsidR="00C86FFF">
              <w:t xml:space="preserve"> –</w:t>
            </w:r>
            <w:r w:rsidR="0038651A">
              <w:t xml:space="preserve"> </w:t>
            </w:r>
            <w:bookmarkStart w:id="0" w:name="_GoBack"/>
            <w:bookmarkEnd w:id="0"/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121" w:type="dxa"/>
          </w:tcPr>
          <w:p w:rsidR="00BC1966" w:rsidRPr="00F95A32" w:rsidRDefault="0028262E" w:rsidP="00BC1966">
            <w:pPr>
              <w:rPr>
                <w:b/>
              </w:rPr>
            </w:pPr>
            <w:r>
              <w:t>4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CF272D" w:rsidRDefault="003E2D20" w:rsidP="00BC1966">
            <w:proofErr w:type="spellStart"/>
            <w:r>
              <w:t>Sommer</w:t>
            </w:r>
            <w:r w:rsidR="00CF272D">
              <w:t>semster</w:t>
            </w:r>
            <w:proofErr w:type="spellEnd"/>
          </w:p>
          <w:p w:rsidR="00BC1966" w:rsidRPr="00F95A32" w:rsidRDefault="00D1680C" w:rsidP="00BC1966">
            <w:pPr>
              <w:rPr>
                <w:b/>
              </w:rPr>
            </w:pPr>
            <w:r>
              <w:t>(</w:t>
            </w:r>
            <w:proofErr w:type="spellStart"/>
            <w:r>
              <w:t>Magister</w:t>
            </w:r>
            <w:r w:rsidR="00CF272D">
              <w:t>studium</w:t>
            </w:r>
            <w:proofErr w:type="spellEnd"/>
            <w:r w:rsidR="00CF272D">
              <w:t>)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CF272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Lernziele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BC1966" w:rsidRDefault="00E12E07" w:rsidP="00BC1966">
            <w:pPr>
              <w:rPr>
                <w:lang w:val="de-DE"/>
              </w:rPr>
            </w:pPr>
            <w:r>
              <w:t xml:space="preserve">- </w:t>
            </w:r>
            <w:r w:rsidR="001E65F8">
              <w:rPr>
                <w:lang w:val="de-DE"/>
              </w:rPr>
              <w:t>Aneignung von Grundbegriffen zum Hör-, Hör-Seh- und Leseverstehe</w:t>
            </w:r>
            <w:r w:rsidR="002E72DF">
              <w:rPr>
                <w:lang w:val="de-DE"/>
              </w:rPr>
              <w:t>n</w:t>
            </w:r>
          </w:p>
          <w:p w:rsidR="00B86A1A" w:rsidRDefault="00B86A1A" w:rsidP="00BC1966">
            <w:pPr>
              <w:rPr>
                <w:lang w:val="de-DE"/>
              </w:rPr>
            </w:pPr>
            <w:r>
              <w:rPr>
                <w:lang w:val="de-DE"/>
              </w:rPr>
              <w:t>- Verstehen verschiedener Landeskunde-Konzepte und ihrer Differenzen</w:t>
            </w:r>
          </w:p>
          <w:p w:rsidR="00E12E07" w:rsidRDefault="00BC4733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="001E65F8">
              <w:rPr>
                <w:lang w:val="de-DE"/>
              </w:rPr>
              <w:t>Umsetzung der erworbenen Kenntnisse bei Lehrwerka</w:t>
            </w:r>
            <w:r>
              <w:rPr>
                <w:lang w:val="de-DE"/>
              </w:rPr>
              <w:t xml:space="preserve">nalyse </w:t>
            </w:r>
            <w:r w:rsidR="001E65F8">
              <w:rPr>
                <w:lang w:val="de-DE"/>
              </w:rPr>
              <w:t>und eigenen Unt</w:t>
            </w:r>
            <w:r w:rsidR="002E72DF">
              <w:rPr>
                <w:lang w:val="de-DE"/>
              </w:rPr>
              <w:t>errichtentwürfen</w:t>
            </w:r>
          </w:p>
          <w:p w:rsidR="001E65F8" w:rsidRDefault="001E65F8" w:rsidP="00BC1966">
            <w:pPr>
              <w:rPr>
                <w:lang w:val="de-DE"/>
              </w:rPr>
            </w:pPr>
            <w:r>
              <w:rPr>
                <w:lang w:val="de-DE"/>
              </w:rPr>
              <w:t>- Fähigkeit</w:t>
            </w:r>
            <w:r w:rsidR="00B86A1A">
              <w:rPr>
                <w:lang w:val="de-DE"/>
              </w:rPr>
              <w:t>,</w:t>
            </w:r>
            <w:r>
              <w:rPr>
                <w:lang w:val="de-DE"/>
              </w:rPr>
              <w:t xml:space="preserve"> Hör-, Hör-Seh- und Leseverstehen bestreffende Unterrichtssequenzen unter Einsatz verschiedener Medien und vielfältiger Aufgaben durchzuführen</w:t>
            </w:r>
          </w:p>
          <w:p w:rsidR="00B86A1A" w:rsidRDefault="00B86A1A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Fähigkeit, landeskundliche Kenntnisse durch verschiedene Lernmittel und Methoden zu vermitteln und </w:t>
            </w:r>
            <w:r w:rsidR="002E72DF">
              <w:rPr>
                <w:lang w:val="de-DE"/>
              </w:rPr>
              <w:t>Schüler und Schülerinnen zum autonomen interkulturellen Lernen zu motivieren</w:t>
            </w:r>
          </w:p>
          <w:p w:rsidR="002E72DF" w:rsidRDefault="001E65F8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Lernstrategien der Schüler und Schülerinnen bei </w:t>
            </w:r>
            <w:r w:rsidR="002E72DF">
              <w:rPr>
                <w:lang w:val="de-DE"/>
              </w:rPr>
              <w:t xml:space="preserve">den </w:t>
            </w:r>
            <w:r>
              <w:rPr>
                <w:lang w:val="de-DE"/>
              </w:rPr>
              <w:t>rezeptiven Aufgaben reflektieren und steuern</w:t>
            </w:r>
            <w:r w:rsidR="00B86A1A">
              <w:rPr>
                <w:lang w:val="de-DE"/>
              </w:rPr>
              <w:t xml:space="preserve"> </w:t>
            </w:r>
          </w:p>
          <w:p w:rsidR="001E65F8" w:rsidRPr="00E12E07" w:rsidRDefault="001E65F8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="004B01DE">
              <w:rPr>
                <w:lang w:val="de-DE"/>
              </w:rPr>
              <w:t>Lernfortschr</w:t>
            </w:r>
            <w:r>
              <w:rPr>
                <w:lang w:val="de-DE"/>
              </w:rPr>
              <w:t>itte</w:t>
            </w:r>
            <w:r w:rsidR="004B01DE">
              <w:rPr>
                <w:lang w:val="de-DE"/>
              </w:rPr>
              <w:t xml:space="preserve"> im Training der rezeptiven Fertigkeiten evaluieren, inklusive testen und bewerten </w:t>
            </w:r>
          </w:p>
          <w:p w:rsidR="00BC1966" w:rsidRPr="0028262E" w:rsidRDefault="00E12E07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="004B01DE">
              <w:rPr>
                <w:lang w:val="de-DE"/>
              </w:rPr>
              <w:t xml:space="preserve">Entwicklung </w:t>
            </w:r>
            <w:r w:rsidR="002E72DF">
              <w:rPr>
                <w:lang w:val="de-DE"/>
              </w:rPr>
              <w:t>der eigenen didaktischen</w:t>
            </w:r>
            <w:r w:rsidR="004B01DE">
              <w:rPr>
                <w:lang w:val="de-DE"/>
              </w:rPr>
              <w:t xml:space="preserve"> Kompetenz reflektieren </w:t>
            </w:r>
          </w:p>
          <w:p w:rsidR="00BC1966" w:rsidRPr="00BC1966" w:rsidRDefault="00BC1966" w:rsidP="00BC1966">
            <w:pPr>
              <w:tabs>
                <w:tab w:val="left" w:pos="6390"/>
              </w:tabs>
            </w:pPr>
            <w:r>
              <w:tab/>
            </w: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Lerninhalte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B86A1A" w:rsidRPr="00B5698D" w:rsidRDefault="00B86A1A" w:rsidP="00B5698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lang w:val="de-DE"/>
              </w:rPr>
            </w:pPr>
            <w:r w:rsidRPr="00B5698D">
              <w:rPr>
                <w:lang w:val="de-DE"/>
              </w:rPr>
              <w:t xml:space="preserve">Hörverstehen: Charakteristik der Sprachfertigkeit, kognitive Prozesse bei der Rezeption (top-down- und </w:t>
            </w:r>
            <w:proofErr w:type="spellStart"/>
            <w:r w:rsidRPr="00B5698D">
              <w:rPr>
                <w:lang w:val="de-DE"/>
              </w:rPr>
              <w:t>bottom</w:t>
            </w:r>
            <w:proofErr w:type="spellEnd"/>
            <w:r w:rsidRPr="00B5698D">
              <w:rPr>
                <w:lang w:val="de-DE"/>
              </w:rPr>
              <w:t>-</w:t>
            </w:r>
            <w:proofErr w:type="spellStart"/>
            <w:r w:rsidRPr="00B5698D">
              <w:rPr>
                <w:lang w:val="de-DE"/>
              </w:rPr>
              <w:t>up</w:t>
            </w:r>
            <w:proofErr w:type="spellEnd"/>
            <w:r w:rsidRPr="00B5698D">
              <w:rPr>
                <w:lang w:val="de-DE"/>
              </w:rPr>
              <w:t>-Prozesse)</w:t>
            </w:r>
            <w:r w:rsidR="00B5698D">
              <w:rPr>
                <w:lang w:val="de-DE"/>
              </w:rPr>
              <w:t>,</w:t>
            </w:r>
            <w:r w:rsidRPr="00B5698D">
              <w:rPr>
                <w:lang w:val="de-DE"/>
              </w:rPr>
              <w:t xml:space="preserve"> Lernziele für das Hörverstehen</w:t>
            </w:r>
            <w:r w:rsidR="00B5698D">
              <w:rPr>
                <w:lang w:val="de-DE"/>
              </w:rPr>
              <w:t>,</w:t>
            </w:r>
            <w:r w:rsidRPr="00B5698D">
              <w:rPr>
                <w:lang w:val="de-DE"/>
              </w:rPr>
              <w:t xml:space="preserve"> Rezeptionsstile, Anf</w:t>
            </w:r>
            <w:r w:rsidR="002E72DF">
              <w:rPr>
                <w:lang w:val="de-DE"/>
              </w:rPr>
              <w:t>orderungen an</w:t>
            </w:r>
            <w:r w:rsidRPr="00B5698D">
              <w:rPr>
                <w:lang w:val="de-DE"/>
              </w:rPr>
              <w:t xml:space="preserve"> </w:t>
            </w:r>
            <w:proofErr w:type="spellStart"/>
            <w:r w:rsidRPr="00B5698D">
              <w:rPr>
                <w:lang w:val="de-DE"/>
              </w:rPr>
              <w:t>Hörtexte</w:t>
            </w:r>
            <w:proofErr w:type="spellEnd"/>
            <w:r w:rsidRPr="00B5698D">
              <w:rPr>
                <w:lang w:val="de-DE"/>
              </w:rPr>
              <w:t xml:space="preserve"> für verschiedene Niveaustufen nach GERR, Quellen für didaktisierte Höraufnahmen</w:t>
            </w:r>
            <w:r w:rsidR="00B5698D">
              <w:rPr>
                <w:lang w:val="de-DE"/>
              </w:rPr>
              <w:t xml:space="preserve"> </w:t>
            </w:r>
            <w:r w:rsidRPr="00B5698D">
              <w:rPr>
                <w:lang w:val="de-DE"/>
              </w:rPr>
              <w:t xml:space="preserve">,Aufgaben vor, während und nach dem Hören, andere Texte zum Hören, die aber das HV </w:t>
            </w:r>
            <w:r w:rsidR="002E72DF" w:rsidRPr="00B5698D">
              <w:rPr>
                <w:lang w:val="de-DE"/>
              </w:rPr>
              <w:t xml:space="preserve"> nicht </w:t>
            </w:r>
            <w:r w:rsidRPr="00B5698D">
              <w:rPr>
                <w:lang w:val="de-DE"/>
              </w:rPr>
              <w:t>tangieren (Dialoge, phonetische Übungen)</w:t>
            </w:r>
          </w:p>
          <w:p w:rsidR="00B5698D" w:rsidRPr="00B5698D" w:rsidRDefault="00B86A1A" w:rsidP="00B5698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5698D">
              <w:rPr>
                <w:lang w:val="de-DE"/>
              </w:rPr>
              <w:t xml:space="preserve">Hör-Seh-Verstehen: </w:t>
            </w:r>
            <w:r w:rsidR="00B5698D">
              <w:rPr>
                <w:lang w:val="de-DE"/>
              </w:rPr>
              <w:t>Film</w:t>
            </w:r>
            <w:r w:rsidRPr="00B5698D">
              <w:rPr>
                <w:lang w:val="de-DE"/>
              </w:rPr>
              <w:t xml:space="preserve"> als Medium, Filmkompetenz, Filmbildung, -Potential audiovisueller </w:t>
            </w:r>
            <w:r w:rsidR="002E72DF">
              <w:rPr>
                <w:lang w:val="de-DE"/>
              </w:rPr>
              <w:t xml:space="preserve">(AV) </w:t>
            </w:r>
            <w:r w:rsidRPr="00B5698D">
              <w:rPr>
                <w:lang w:val="de-DE"/>
              </w:rPr>
              <w:t>Medien für die Förderung von Sprachfertigkeiten, interkultureller und media</w:t>
            </w:r>
            <w:r w:rsidR="00B5698D">
              <w:rPr>
                <w:lang w:val="de-DE"/>
              </w:rPr>
              <w:t xml:space="preserve">ler Kompetenz, authentische AV-Materialien vs. Lernfilme, </w:t>
            </w:r>
            <w:r w:rsidR="002E72DF">
              <w:rPr>
                <w:lang w:val="de-DE"/>
              </w:rPr>
              <w:t xml:space="preserve">Auswahl von AV-Materialien </w:t>
            </w:r>
            <w:r w:rsidR="00B5698D" w:rsidRPr="00B5698D">
              <w:rPr>
                <w:lang w:val="de-DE"/>
              </w:rPr>
              <w:t>für verschiedene Niveaustufen nach GERR</w:t>
            </w:r>
            <w:r w:rsidR="00B5698D">
              <w:rPr>
                <w:lang w:val="de-DE"/>
              </w:rPr>
              <w:t xml:space="preserve">, </w:t>
            </w:r>
            <w:proofErr w:type="spellStart"/>
            <w:r w:rsidR="00B5698D">
              <w:rPr>
                <w:lang w:val="de-DE"/>
              </w:rPr>
              <w:t>Scaffolds</w:t>
            </w:r>
            <w:proofErr w:type="spellEnd"/>
            <w:r w:rsidR="00B5698D">
              <w:rPr>
                <w:lang w:val="de-DE"/>
              </w:rPr>
              <w:t xml:space="preserve"> für die Rezeption authentischer Materialen, Aufgaben </w:t>
            </w:r>
            <w:r w:rsidR="00B5698D" w:rsidRPr="00B5698D">
              <w:rPr>
                <w:lang w:val="de-DE"/>
              </w:rPr>
              <w:t xml:space="preserve">vor, während und nach </w:t>
            </w:r>
            <w:r w:rsidR="00B5698D">
              <w:rPr>
                <w:lang w:val="de-DE"/>
              </w:rPr>
              <w:t>der Rezeption</w:t>
            </w:r>
          </w:p>
          <w:p w:rsidR="00B5698D" w:rsidRPr="00B5698D" w:rsidRDefault="00B5698D" w:rsidP="00B5698D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lang w:val="de-DE"/>
              </w:rPr>
              <w:t xml:space="preserve">Faktische, kommunikative und interkulturelle Landeskunde </w:t>
            </w:r>
          </w:p>
          <w:p w:rsidR="002A5413" w:rsidRPr="002A5413" w:rsidRDefault="00B5698D" w:rsidP="002A541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lang w:val="de-DE"/>
              </w:rPr>
              <w:t xml:space="preserve">Leseverstehen: </w:t>
            </w:r>
            <w:r w:rsidRPr="00B5698D">
              <w:rPr>
                <w:lang w:val="de-DE"/>
              </w:rPr>
              <w:t>Charakteristik der Sprachfertigkeit, kognitive Prozesse bei</w:t>
            </w:r>
            <w:r>
              <w:rPr>
                <w:lang w:val="de-DE"/>
              </w:rPr>
              <w:t>m Lesen, Vergleich vom Lesen der Texte in der Erst- und Fremdsprache, Lernziele für das Lese</w:t>
            </w:r>
            <w:r w:rsidRPr="00B5698D">
              <w:rPr>
                <w:lang w:val="de-DE"/>
              </w:rPr>
              <w:t>verstehen</w:t>
            </w:r>
            <w:r>
              <w:rPr>
                <w:lang w:val="de-DE"/>
              </w:rPr>
              <w:t>,</w:t>
            </w:r>
            <w:r w:rsidRPr="00B5698D">
              <w:rPr>
                <w:lang w:val="de-DE"/>
              </w:rPr>
              <w:t xml:space="preserve"> Rezeptionsstile, </w:t>
            </w:r>
            <w:r>
              <w:rPr>
                <w:lang w:val="de-DE"/>
              </w:rPr>
              <w:t xml:space="preserve">Lesestrategien, Texttypologie, </w:t>
            </w:r>
            <w:r w:rsidRPr="00B5698D">
              <w:rPr>
                <w:lang w:val="de-DE"/>
              </w:rPr>
              <w:t>Anf</w:t>
            </w:r>
            <w:r>
              <w:rPr>
                <w:lang w:val="de-DE"/>
              </w:rPr>
              <w:t>orderungen an die Lese</w:t>
            </w:r>
            <w:r w:rsidRPr="00B5698D">
              <w:rPr>
                <w:lang w:val="de-DE"/>
              </w:rPr>
              <w:t>texte für verschiedene Niveaustufen nach GERR,</w:t>
            </w:r>
            <w:r>
              <w:rPr>
                <w:lang w:val="de-DE"/>
              </w:rPr>
              <w:t xml:space="preserve"> </w:t>
            </w:r>
            <w:r w:rsidRPr="00B5698D">
              <w:rPr>
                <w:lang w:val="de-DE"/>
              </w:rPr>
              <w:t>Aufgaben</w:t>
            </w:r>
            <w:r>
              <w:rPr>
                <w:lang w:val="de-DE"/>
              </w:rPr>
              <w:t xml:space="preserve"> vor, während und nach dem Lesen, Spezifika der Arbeit mit Sach- , Fach- und literarischen Texten, Didaktisierung authentischer Lesetexte</w:t>
            </w:r>
          </w:p>
          <w:p w:rsidR="002A5413" w:rsidRPr="002A5413" w:rsidRDefault="002A5413" w:rsidP="002A5413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lang w:val="de-DE"/>
              </w:rPr>
              <w:t>Formen von Evaluationen, Testaufgaben, Konstruktion von Tests, Bewertungskriterien</w:t>
            </w:r>
          </w:p>
          <w:p w:rsidR="008112F8" w:rsidRPr="00B5698D" w:rsidRDefault="008112F8" w:rsidP="00B5698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CF272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Leistungskontrolle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 xml:space="preserve">Schriftlicher Test 66%, Teilaufgaben im Semester (Lehrwerkanalyse, </w:t>
            </w:r>
            <w:r w:rsidR="002E72DF">
              <w:rPr>
                <w:lang w:val="de-DE"/>
              </w:rPr>
              <w:t xml:space="preserve"> Unterrichtsplanung </w:t>
            </w:r>
            <w:proofErr w:type="spellStart"/>
            <w:r w:rsidRPr="0028262E">
              <w:rPr>
                <w:lang w:val="de-DE"/>
              </w:rPr>
              <w:t>Microteac</w:t>
            </w:r>
            <w:r>
              <w:rPr>
                <w:lang w:val="de-DE"/>
              </w:rPr>
              <w:t>h</w:t>
            </w:r>
            <w:r w:rsidRPr="0028262E">
              <w:rPr>
                <w:lang w:val="de-DE"/>
              </w:rPr>
              <w:t>ing</w:t>
            </w:r>
            <w:proofErr w:type="spellEnd"/>
            <w:r>
              <w:rPr>
                <w:lang w:val="de-DE"/>
              </w:rPr>
              <w:t xml:space="preserve">, </w:t>
            </w:r>
            <w:r w:rsidR="002E72DF">
              <w:rPr>
                <w:lang w:val="de-DE"/>
              </w:rPr>
              <w:t xml:space="preserve">Aufgaben auf der Lernplattform </w:t>
            </w:r>
            <w:proofErr w:type="spellStart"/>
            <w:r>
              <w:rPr>
                <w:lang w:val="de-DE"/>
              </w:rPr>
              <w:t>u.A</w:t>
            </w:r>
            <w:proofErr w:type="spellEnd"/>
            <w:r>
              <w:rPr>
                <w:lang w:val="de-DE"/>
              </w:rPr>
              <w:t xml:space="preserve"> 33%)</w:t>
            </w:r>
            <w:r w:rsidRPr="0028262E">
              <w:rPr>
                <w:lang w:val="de-DE"/>
              </w:rPr>
              <w:t xml:space="preserve"> </w:t>
            </w:r>
          </w:p>
          <w:p w:rsidR="00BC1966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>Notenskala A: 91-100%, B: 81-90%, C: 71-80%, D: 61-70%, E: 51-60%, FX: 0-50%.</w:t>
            </w:r>
          </w:p>
          <w:p w:rsidR="002A5413" w:rsidRPr="0028262E" w:rsidRDefault="002A5413" w:rsidP="0028262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Studienliteratur</w:t>
            </w:r>
            <w:proofErr w:type="spellEnd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lastRenderedPageBreak/>
              <w:t xml:space="preserve">BRAUN, A.: Hören im </w:t>
            </w:r>
            <w:proofErr w:type="spellStart"/>
            <w:r w:rsidRPr="0028262E">
              <w:rPr>
                <w:lang w:val="de-DE"/>
              </w:rPr>
              <w:t>DaZ</w:t>
            </w:r>
            <w:proofErr w:type="spellEnd"/>
            <w:r w:rsidRPr="0028262E">
              <w:rPr>
                <w:lang w:val="de-DE"/>
              </w:rPr>
              <w:t>-Unterricht. In: KAUFMANN, S. et al. Fortbildung für Kursleitende Deutsch als Zweitsprache. München 2013, S. 69-109.</w:t>
            </w:r>
          </w:p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 xml:space="preserve">BRINITZER, M. et al.: </w:t>
            </w:r>
            <w:proofErr w:type="spellStart"/>
            <w:r w:rsidRPr="0028262E">
              <w:rPr>
                <w:lang w:val="de-DE"/>
              </w:rPr>
              <w:t>DaF</w:t>
            </w:r>
            <w:proofErr w:type="spellEnd"/>
            <w:r w:rsidRPr="0028262E">
              <w:rPr>
                <w:lang w:val="de-DE"/>
              </w:rPr>
              <w:t xml:space="preserve"> unterrichten. Basiswissen Didaktik, Deutsch als Fremd- und Zweitsprache. Stuttgart 2017.</w:t>
            </w:r>
          </w:p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 xml:space="preserve">FERLING, N: Lesen im </w:t>
            </w:r>
            <w:proofErr w:type="spellStart"/>
            <w:r w:rsidRPr="0028262E">
              <w:rPr>
                <w:lang w:val="de-DE"/>
              </w:rPr>
              <w:t>DaZ</w:t>
            </w:r>
            <w:proofErr w:type="spellEnd"/>
            <w:r w:rsidRPr="0028262E">
              <w:rPr>
                <w:lang w:val="de-DE"/>
              </w:rPr>
              <w:t>-Unterricht. In: KAUFMANN, S. et al. Fortbildung für Kursleitende Deutsch als Zweitsprache. München 2013, S. 35-68.</w:t>
            </w:r>
          </w:p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>RÖSSLER, D.; WÜRFFEL, N.: DLL5 - Lehr- und Lernmedien. München 2020.</w:t>
            </w:r>
          </w:p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 xml:space="preserve">SURKAMP, C : Filmdidaktik. In: </w:t>
            </w:r>
            <w:proofErr w:type="spellStart"/>
            <w:r w:rsidRPr="0028262E">
              <w:rPr>
                <w:lang w:val="de-DE"/>
              </w:rPr>
              <w:t>Surkamp</w:t>
            </w:r>
            <w:proofErr w:type="spellEnd"/>
            <w:r w:rsidRPr="0028262E">
              <w:rPr>
                <w:lang w:val="de-DE"/>
              </w:rPr>
              <w:t>, Carola (</w:t>
            </w:r>
            <w:proofErr w:type="spellStart"/>
            <w:r w:rsidRPr="0028262E">
              <w:rPr>
                <w:lang w:val="de-DE"/>
              </w:rPr>
              <w:t>ed</w:t>
            </w:r>
            <w:proofErr w:type="spellEnd"/>
            <w:r w:rsidRPr="0028262E">
              <w:rPr>
                <w:lang w:val="de-DE"/>
              </w:rPr>
              <w:t>. ): Metzler Lexikon der Fremdsprachendidaktik. Ansätze – Methoden – Grundbegriffe. Stuttgart – Weimar, S. 73-77.</w:t>
            </w:r>
          </w:p>
          <w:p w:rsidR="0028262E" w:rsidRPr="0028262E" w:rsidRDefault="0028262E" w:rsidP="0028262E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28262E">
              <w:rPr>
                <w:lang w:val="de-DE"/>
              </w:rPr>
              <w:t xml:space="preserve">SURKAMP, C.: Filmkompetenz. In: </w:t>
            </w:r>
            <w:proofErr w:type="spellStart"/>
            <w:r w:rsidRPr="0028262E">
              <w:rPr>
                <w:lang w:val="de-DE"/>
              </w:rPr>
              <w:t>Surkamp</w:t>
            </w:r>
            <w:proofErr w:type="spellEnd"/>
            <w:r w:rsidRPr="0028262E">
              <w:rPr>
                <w:lang w:val="de-DE"/>
              </w:rPr>
              <w:t>, Carola (</w:t>
            </w:r>
            <w:proofErr w:type="spellStart"/>
            <w:r w:rsidRPr="0028262E">
              <w:rPr>
                <w:lang w:val="de-DE"/>
              </w:rPr>
              <w:t>ed</w:t>
            </w:r>
            <w:proofErr w:type="spellEnd"/>
            <w:r w:rsidRPr="0028262E">
              <w:rPr>
                <w:lang w:val="de-DE"/>
              </w:rPr>
              <w:t>. ): Metzler Lexikon der Fremdsprachendidaktik. Ansätze – Methoden – Grundbegriffe. Stuttgart – Weimar: Metzler,</w:t>
            </w:r>
          </w:p>
          <w:p w:rsidR="00BC1966" w:rsidRDefault="0028262E" w:rsidP="0028262E">
            <w:pPr>
              <w:rPr>
                <w:lang w:val="de-DE"/>
              </w:rPr>
            </w:pPr>
            <w:r w:rsidRPr="0028262E">
              <w:rPr>
                <w:lang w:val="de-DE"/>
              </w:rPr>
              <w:t>77-78.</w:t>
            </w:r>
          </w:p>
          <w:p w:rsidR="002A5413" w:rsidRDefault="002A5413" w:rsidP="0028262E"/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40" w:rsidRDefault="00C01440" w:rsidP="00BC1966">
      <w:pPr>
        <w:spacing w:after="0" w:line="240" w:lineRule="auto"/>
      </w:pPr>
      <w:r>
        <w:separator/>
      </w:r>
    </w:p>
  </w:endnote>
  <w:endnote w:type="continuationSeparator" w:id="0">
    <w:p w:rsidR="00C01440" w:rsidRDefault="00C01440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40" w:rsidRDefault="00C01440" w:rsidP="00BC1966">
      <w:pPr>
        <w:spacing w:after="0" w:line="240" w:lineRule="auto"/>
      </w:pPr>
      <w:r>
        <w:separator/>
      </w:r>
    </w:p>
  </w:footnote>
  <w:footnote w:type="continuationSeparator" w:id="0">
    <w:p w:rsidR="00C01440" w:rsidRDefault="00C01440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54B43"/>
    <w:multiLevelType w:val="hybridMultilevel"/>
    <w:tmpl w:val="972E48AC"/>
    <w:lvl w:ilvl="0" w:tplc="DCC4E338">
      <w:start w:val="77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66"/>
    <w:rsid w:val="001E65F8"/>
    <w:rsid w:val="0028262E"/>
    <w:rsid w:val="002A5413"/>
    <w:rsid w:val="002E72DF"/>
    <w:rsid w:val="0038651A"/>
    <w:rsid w:val="003E2D20"/>
    <w:rsid w:val="00407466"/>
    <w:rsid w:val="004B01DE"/>
    <w:rsid w:val="00591F7B"/>
    <w:rsid w:val="006974D1"/>
    <w:rsid w:val="006E1847"/>
    <w:rsid w:val="006F1954"/>
    <w:rsid w:val="007B14E7"/>
    <w:rsid w:val="008112F8"/>
    <w:rsid w:val="00943F7A"/>
    <w:rsid w:val="00AC60ED"/>
    <w:rsid w:val="00B5698D"/>
    <w:rsid w:val="00B70036"/>
    <w:rsid w:val="00B86A1A"/>
    <w:rsid w:val="00BA354A"/>
    <w:rsid w:val="00BC1966"/>
    <w:rsid w:val="00BC4733"/>
    <w:rsid w:val="00C01440"/>
    <w:rsid w:val="00C12F5E"/>
    <w:rsid w:val="00C86FFF"/>
    <w:rsid w:val="00CF272D"/>
    <w:rsid w:val="00D1680C"/>
    <w:rsid w:val="00E12E07"/>
    <w:rsid w:val="00F00BAA"/>
    <w:rsid w:val="00F3067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A83F2"/>
  <w15:docId w15:val="{748BE658-96F2-4885-A7A7-F22D1FB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2022-01-31T10:21:00Z</dcterms:created>
  <dcterms:modified xsi:type="dcterms:W3CDTF">2022-03-22T14:23:00Z</dcterms:modified>
</cp:coreProperties>
</file>