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45C2F" w14:textId="77777777" w:rsidR="008B76CE" w:rsidRDefault="008B76CE">
      <w:pPr>
        <w:jc w:val="center"/>
        <w:rPr>
          <w:b/>
          <w:bCs/>
          <w:iCs/>
        </w:rPr>
      </w:pPr>
      <w:r>
        <w:rPr>
          <w:b/>
          <w:bCs/>
          <w:iCs/>
        </w:rPr>
        <w:t>Univerzita Pavla Jozefa Šafárika v Košiciach</w:t>
      </w:r>
    </w:p>
    <w:p w14:paraId="5E313F3B" w14:textId="77777777" w:rsidR="008B76CE" w:rsidRDefault="008B76CE">
      <w:pPr>
        <w:jc w:val="center"/>
        <w:rPr>
          <w:b/>
          <w:bCs/>
          <w:iCs/>
        </w:rPr>
      </w:pPr>
      <w:r>
        <w:rPr>
          <w:b/>
          <w:bCs/>
          <w:iCs/>
        </w:rPr>
        <w:t>Právnická fakulta</w:t>
      </w:r>
    </w:p>
    <w:p w14:paraId="22539134" w14:textId="77777777" w:rsidR="008B76CE" w:rsidRDefault="008B76CE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Ústav </w:t>
      </w:r>
      <w:r w:rsidR="00CE45CA">
        <w:rPr>
          <w:b/>
          <w:bCs/>
          <w:iCs/>
        </w:rPr>
        <w:t xml:space="preserve">medzinárodného práva a </w:t>
      </w:r>
      <w:r>
        <w:rPr>
          <w:b/>
          <w:bCs/>
          <w:iCs/>
        </w:rPr>
        <w:t>európskeho práva</w:t>
      </w:r>
    </w:p>
    <w:p w14:paraId="7AF63867" w14:textId="77777777" w:rsidR="008B76CE" w:rsidRDefault="008B76CE">
      <w:pPr>
        <w:pBdr>
          <w:top w:val="single" w:sz="4" w:space="1" w:color="000000"/>
        </w:pBdr>
        <w:jc w:val="center"/>
        <w:rPr>
          <w:b/>
          <w:bCs/>
          <w:iCs/>
        </w:rPr>
      </w:pPr>
    </w:p>
    <w:p w14:paraId="52DEB051" w14:textId="794519A8" w:rsidR="008B76CE" w:rsidRDefault="008B76CE">
      <w:pPr>
        <w:pBdr>
          <w:top w:val="single" w:sz="4" w:space="1" w:color="000000"/>
        </w:pBdr>
        <w:jc w:val="center"/>
        <w:rPr>
          <w:b/>
          <w:bCs/>
          <w:iCs/>
        </w:rPr>
      </w:pPr>
      <w:r>
        <w:rPr>
          <w:b/>
          <w:bCs/>
          <w:iCs/>
        </w:rPr>
        <w:t xml:space="preserve">Témy </w:t>
      </w:r>
      <w:r w:rsidR="008A70BB">
        <w:rPr>
          <w:b/>
          <w:bCs/>
          <w:iCs/>
        </w:rPr>
        <w:t>konzultácií</w:t>
      </w:r>
      <w:r>
        <w:rPr>
          <w:b/>
          <w:bCs/>
          <w:iCs/>
        </w:rPr>
        <w:t xml:space="preserve"> z predmetu</w:t>
      </w:r>
    </w:p>
    <w:p w14:paraId="441EF8A7" w14:textId="77777777" w:rsidR="008B76CE" w:rsidRDefault="008B76CE">
      <w:pPr>
        <w:jc w:val="center"/>
        <w:rPr>
          <w:b/>
          <w:bCs/>
          <w:iCs/>
        </w:rPr>
      </w:pPr>
      <w:r>
        <w:rPr>
          <w:b/>
          <w:bCs/>
          <w:iCs/>
        </w:rPr>
        <w:t>Medzinárodné právo verejné I</w:t>
      </w:r>
      <w:r w:rsidR="001B46E4">
        <w:rPr>
          <w:b/>
          <w:bCs/>
          <w:iCs/>
        </w:rPr>
        <w:t>I</w:t>
      </w:r>
    </w:p>
    <w:p w14:paraId="08CB2D8A" w14:textId="60E7AB0A" w:rsidR="00D97341" w:rsidRDefault="00D97341" w:rsidP="00D97341">
      <w:pPr>
        <w:jc w:val="center"/>
        <w:rPr>
          <w:b/>
          <w:bCs/>
          <w:iCs/>
        </w:rPr>
      </w:pPr>
      <w:r>
        <w:rPr>
          <w:b/>
          <w:bCs/>
          <w:iCs/>
        </w:rPr>
        <w:t>MPVII/</w:t>
      </w:r>
      <w:proofErr w:type="spellStart"/>
      <w:r>
        <w:rPr>
          <w:b/>
          <w:bCs/>
          <w:iCs/>
        </w:rPr>
        <w:t>e</w:t>
      </w:r>
      <w:r w:rsidR="00D16AF0">
        <w:rPr>
          <w:b/>
          <w:bCs/>
          <w:iCs/>
        </w:rPr>
        <w:t>b</w:t>
      </w:r>
      <w:proofErr w:type="spellEnd"/>
      <w:r>
        <w:rPr>
          <w:b/>
          <w:bCs/>
          <w:iCs/>
        </w:rPr>
        <w:t>/</w:t>
      </w:r>
      <w:r w:rsidR="00D16AF0">
        <w:rPr>
          <w:b/>
          <w:bCs/>
          <w:iCs/>
        </w:rPr>
        <w:t>18</w:t>
      </w:r>
    </w:p>
    <w:p w14:paraId="733607B7" w14:textId="3C4EFFB8" w:rsidR="008B76CE" w:rsidRDefault="008B76CE">
      <w:pPr>
        <w:jc w:val="center"/>
        <w:rPr>
          <w:b/>
          <w:bCs/>
          <w:iCs/>
        </w:rPr>
      </w:pPr>
      <w:r>
        <w:rPr>
          <w:b/>
          <w:bCs/>
          <w:iCs/>
        </w:rPr>
        <w:t>v</w:t>
      </w:r>
      <w:r w:rsidR="001B46E4">
        <w:rPr>
          <w:b/>
          <w:bCs/>
          <w:iCs/>
        </w:rPr>
        <w:t> </w:t>
      </w:r>
      <w:r w:rsidR="00D16AF0">
        <w:rPr>
          <w:b/>
          <w:bCs/>
          <w:iCs/>
        </w:rPr>
        <w:t>letn</w:t>
      </w:r>
      <w:r w:rsidR="00820F87">
        <w:rPr>
          <w:b/>
          <w:bCs/>
          <w:iCs/>
        </w:rPr>
        <w:t>om</w:t>
      </w:r>
      <w:r w:rsidR="001B46E4">
        <w:rPr>
          <w:b/>
          <w:bCs/>
          <w:iCs/>
        </w:rPr>
        <w:t xml:space="preserve"> </w:t>
      </w:r>
      <w:r>
        <w:rPr>
          <w:b/>
          <w:bCs/>
          <w:iCs/>
        </w:rPr>
        <w:t>semestri akademického roka 20</w:t>
      </w:r>
      <w:r w:rsidR="003D3E81">
        <w:rPr>
          <w:b/>
          <w:bCs/>
          <w:iCs/>
        </w:rPr>
        <w:t>2</w:t>
      </w:r>
      <w:r w:rsidR="009521C9">
        <w:rPr>
          <w:b/>
          <w:bCs/>
          <w:iCs/>
        </w:rPr>
        <w:t>5</w:t>
      </w:r>
      <w:r w:rsidR="00F725A5">
        <w:rPr>
          <w:b/>
          <w:bCs/>
          <w:iCs/>
        </w:rPr>
        <w:t>/202</w:t>
      </w:r>
      <w:r w:rsidR="009521C9">
        <w:rPr>
          <w:b/>
          <w:bCs/>
          <w:iCs/>
        </w:rPr>
        <w:t>6</w:t>
      </w:r>
    </w:p>
    <w:p w14:paraId="7AD2EAA4" w14:textId="4E9B0B4E" w:rsidR="00C51F27" w:rsidRDefault="00C51F27">
      <w:pPr>
        <w:jc w:val="center"/>
        <w:rPr>
          <w:bCs/>
          <w:iCs/>
        </w:rPr>
      </w:pPr>
      <w:r>
        <w:rPr>
          <w:b/>
          <w:bCs/>
          <w:iCs/>
        </w:rPr>
        <w:t xml:space="preserve"> </w:t>
      </w:r>
    </w:p>
    <w:p w14:paraId="08809CD4" w14:textId="77777777" w:rsidR="008B76CE" w:rsidRDefault="008B76CE">
      <w:pPr>
        <w:rPr>
          <w:bCs/>
          <w:iCs/>
        </w:rPr>
      </w:pPr>
    </w:p>
    <w:p w14:paraId="490D1F3F" w14:textId="7E9E8F20" w:rsidR="008B76CE" w:rsidRDefault="00D16AF0" w:rsidP="00D16AF0">
      <w:pPr>
        <w:rPr>
          <w:iCs/>
        </w:rPr>
      </w:pPr>
      <w:r w:rsidRPr="00D16AF0">
        <w:rPr>
          <w:b/>
          <w:bCs/>
          <w:iCs/>
        </w:rPr>
        <w:t>Vyučujúci:</w:t>
      </w:r>
      <w:r>
        <w:rPr>
          <w:iCs/>
        </w:rPr>
        <w:t xml:space="preserve"> prof. JUDr. Juraj Jankuv, PhD. </w:t>
      </w:r>
      <w:r w:rsidR="005F21BF">
        <w:rPr>
          <w:iCs/>
        </w:rPr>
        <w:t xml:space="preserve">a </w:t>
      </w:r>
      <w:r>
        <w:rPr>
          <w:iCs/>
        </w:rPr>
        <w:t>JUDr. Ľudmila Elbert, PhD., univ. doc.</w:t>
      </w:r>
    </w:p>
    <w:p w14:paraId="2650B4B6" w14:textId="15B4EE27" w:rsidR="00306A24" w:rsidRPr="002B3BA7" w:rsidRDefault="008A70BB" w:rsidP="00D16AF0">
      <w:pPr>
        <w:tabs>
          <w:tab w:val="left" w:pos="426"/>
        </w:tabs>
        <w:spacing w:before="240"/>
        <w:jc w:val="both"/>
        <w:rPr>
          <w:b/>
          <w:iCs/>
        </w:rPr>
      </w:pPr>
      <w:r>
        <w:rPr>
          <w:b/>
          <w:iCs/>
        </w:rPr>
        <w:t xml:space="preserve">1. </w:t>
      </w:r>
      <w:r w:rsidR="00D16AF0">
        <w:rPr>
          <w:b/>
          <w:iCs/>
        </w:rPr>
        <w:t>skupina tém:</w:t>
      </w:r>
    </w:p>
    <w:p w14:paraId="4DD736EB" w14:textId="77777777" w:rsidR="00EE61C5" w:rsidRDefault="00EE61C5" w:rsidP="0003312F">
      <w:pPr>
        <w:pStyle w:val="Odsekzoznamu"/>
        <w:numPr>
          <w:ilvl w:val="0"/>
          <w:numId w:val="9"/>
        </w:numPr>
        <w:spacing w:before="240"/>
        <w:rPr>
          <w:bCs/>
          <w:szCs w:val="24"/>
        </w:rPr>
      </w:pPr>
      <w:r>
        <w:rPr>
          <w:bCs/>
          <w:szCs w:val="24"/>
        </w:rPr>
        <w:t>Medzinárodnoprávna úprava postavenia obyvateľstva a jednotlivcov všeobecne, š</w:t>
      </w:r>
      <w:r w:rsidR="00306A24" w:rsidRPr="002B3BA7">
        <w:rPr>
          <w:bCs/>
          <w:szCs w:val="24"/>
        </w:rPr>
        <w:t xml:space="preserve">tátne občianstvo, </w:t>
      </w:r>
      <w:proofErr w:type="spellStart"/>
      <w:r w:rsidR="00306A24" w:rsidRPr="002B3BA7">
        <w:rPr>
          <w:bCs/>
          <w:szCs w:val="24"/>
        </w:rPr>
        <w:t>bipolitizmus</w:t>
      </w:r>
      <w:proofErr w:type="spellEnd"/>
      <w:r w:rsidR="00306A24" w:rsidRPr="002B3BA7">
        <w:rPr>
          <w:bCs/>
          <w:szCs w:val="24"/>
        </w:rPr>
        <w:t xml:space="preserve"> a </w:t>
      </w:r>
      <w:proofErr w:type="spellStart"/>
      <w:r w:rsidR="00306A24" w:rsidRPr="002B3BA7">
        <w:rPr>
          <w:bCs/>
          <w:szCs w:val="24"/>
        </w:rPr>
        <w:t>apolitizmus</w:t>
      </w:r>
      <w:proofErr w:type="spellEnd"/>
      <w:r w:rsidR="00306A24" w:rsidRPr="002B3BA7">
        <w:rPr>
          <w:bCs/>
          <w:szCs w:val="24"/>
        </w:rPr>
        <w:t xml:space="preserve">, cudzinecké režimy, diplomatická ochrana </w:t>
      </w:r>
    </w:p>
    <w:p w14:paraId="4BC1E08E" w14:textId="635E7D69" w:rsidR="001B46E4" w:rsidRPr="00EE61C5" w:rsidRDefault="00306A24" w:rsidP="0003312F">
      <w:pPr>
        <w:pStyle w:val="Odsekzoznamu"/>
        <w:numPr>
          <w:ilvl w:val="0"/>
          <w:numId w:val="9"/>
        </w:numPr>
        <w:spacing w:before="240"/>
        <w:rPr>
          <w:bCs/>
          <w:szCs w:val="24"/>
        </w:rPr>
      </w:pPr>
      <w:r w:rsidRPr="00EE61C5">
        <w:rPr>
          <w:bCs/>
        </w:rPr>
        <w:t xml:space="preserve">Medzinárodnoprávna ochrana ľudských práv všeobecne, mechanizmy ochrany ľudských práv </w:t>
      </w:r>
      <w:r w:rsidR="00EE61C5">
        <w:rPr>
          <w:bCs/>
        </w:rPr>
        <w:t>v rámci Organizácie spojených národov a iných pravidiel univerzálneho charakteru</w:t>
      </w:r>
    </w:p>
    <w:p w14:paraId="0EC867B5" w14:textId="5111C6FB" w:rsidR="00043B81" w:rsidRPr="002B3BA7" w:rsidRDefault="00043B81" w:rsidP="0003312F">
      <w:pPr>
        <w:pStyle w:val="Odsekzoznamu"/>
        <w:numPr>
          <w:ilvl w:val="0"/>
          <w:numId w:val="9"/>
        </w:numPr>
        <w:spacing w:before="240"/>
        <w:rPr>
          <w:bCs/>
          <w:szCs w:val="24"/>
        </w:rPr>
      </w:pPr>
      <w:r w:rsidRPr="002B3BA7">
        <w:rPr>
          <w:bCs/>
          <w:szCs w:val="24"/>
        </w:rPr>
        <w:t>Európsky systém ochrany ľudských práv, medzinárodné azylové a utečenecké právo</w:t>
      </w:r>
    </w:p>
    <w:p w14:paraId="0F4DE2A1" w14:textId="77777777" w:rsidR="008A70BB" w:rsidRPr="008A70BB" w:rsidRDefault="00043B81" w:rsidP="0003312F">
      <w:pPr>
        <w:pStyle w:val="Odsekzoznamu"/>
        <w:numPr>
          <w:ilvl w:val="0"/>
          <w:numId w:val="9"/>
        </w:numPr>
        <w:tabs>
          <w:tab w:val="left" w:pos="426"/>
        </w:tabs>
        <w:spacing w:before="240"/>
        <w:rPr>
          <w:bCs/>
          <w:iCs/>
          <w:szCs w:val="24"/>
        </w:rPr>
      </w:pPr>
      <w:r w:rsidRPr="002B3BA7">
        <w:rPr>
          <w:szCs w:val="24"/>
        </w:rPr>
        <w:t xml:space="preserve">Prípad </w:t>
      </w:r>
      <w:proofErr w:type="spellStart"/>
      <w:r w:rsidRPr="002B3BA7">
        <w:rPr>
          <w:szCs w:val="24"/>
        </w:rPr>
        <w:t>Nottebohm</w:t>
      </w:r>
      <w:proofErr w:type="spellEnd"/>
      <w:r w:rsidRPr="002B3BA7">
        <w:rPr>
          <w:szCs w:val="24"/>
        </w:rPr>
        <w:t>, Lichtenštajnsko proti Guatemale, Medzinárodný súdny dvor, rozsudok zo 6. apríla 1955</w:t>
      </w:r>
    </w:p>
    <w:p w14:paraId="306B0C4F" w14:textId="77777777" w:rsidR="008A70BB" w:rsidRPr="008A70BB" w:rsidRDefault="008A70BB" w:rsidP="0003312F">
      <w:pPr>
        <w:pStyle w:val="Odsekzoznamu"/>
        <w:numPr>
          <w:ilvl w:val="0"/>
          <w:numId w:val="9"/>
        </w:numPr>
        <w:tabs>
          <w:tab w:val="left" w:pos="426"/>
        </w:tabs>
        <w:spacing w:before="240"/>
        <w:rPr>
          <w:bCs/>
          <w:iCs/>
          <w:szCs w:val="24"/>
        </w:rPr>
      </w:pPr>
      <w:r w:rsidRPr="002B3BA7">
        <w:rPr>
          <w:szCs w:val="24"/>
        </w:rPr>
        <w:t>Prípad Rigová  proti Slovenskej republike, Výbor na odstránenie rasovej diskriminácie, nález zo 7. marca 2005</w:t>
      </w:r>
    </w:p>
    <w:p w14:paraId="2AF7D07B" w14:textId="2571B18B" w:rsidR="008A70BB" w:rsidRPr="008A70BB" w:rsidRDefault="008A70BB" w:rsidP="00D16AF0">
      <w:pPr>
        <w:tabs>
          <w:tab w:val="left" w:pos="426"/>
        </w:tabs>
        <w:spacing w:before="240"/>
        <w:rPr>
          <w:bCs/>
          <w:iCs/>
        </w:rPr>
      </w:pPr>
      <w:r w:rsidRPr="008A70BB">
        <w:rPr>
          <w:b/>
          <w:bCs/>
        </w:rPr>
        <w:t>2.</w:t>
      </w:r>
      <w:r w:rsidRPr="008A70BB">
        <w:t xml:space="preserve"> </w:t>
      </w:r>
      <w:r w:rsidR="00D16AF0">
        <w:rPr>
          <w:b/>
          <w:bCs/>
          <w:iCs/>
        </w:rPr>
        <w:t>skupina tém:</w:t>
      </w:r>
      <w:r w:rsidRPr="002B3BA7">
        <w:t xml:space="preserve"> </w:t>
      </w:r>
    </w:p>
    <w:p w14:paraId="0005C891" w14:textId="77777777" w:rsidR="008A70BB" w:rsidRPr="002B3BA7" w:rsidRDefault="008A70BB" w:rsidP="0003312F">
      <w:pPr>
        <w:pStyle w:val="Odsekzoznamu"/>
        <w:numPr>
          <w:ilvl w:val="0"/>
          <w:numId w:val="9"/>
        </w:numPr>
        <w:tabs>
          <w:tab w:val="left" w:pos="426"/>
        </w:tabs>
        <w:spacing w:before="240"/>
        <w:rPr>
          <w:iCs/>
          <w:szCs w:val="24"/>
        </w:rPr>
      </w:pPr>
      <w:r>
        <w:rPr>
          <w:szCs w:val="24"/>
        </w:rPr>
        <w:t>Medzinárodnoprávne územné režimy všeobecne, š</w:t>
      </w:r>
      <w:r w:rsidRPr="002B3BA7">
        <w:rPr>
          <w:szCs w:val="24"/>
        </w:rPr>
        <w:t xml:space="preserve">tátne územie, spôsoby nadobúdania štátneho územia, štátne hranice, slovenské štátne hranice, pohraničný režim </w:t>
      </w:r>
    </w:p>
    <w:p w14:paraId="78EC19E5" w14:textId="589CF4E4" w:rsidR="008A70BB" w:rsidRPr="002B3BA7" w:rsidRDefault="008A70BB" w:rsidP="0003312F">
      <w:pPr>
        <w:pStyle w:val="Odsekzoznamu"/>
        <w:numPr>
          <w:ilvl w:val="0"/>
          <w:numId w:val="9"/>
        </w:numPr>
        <w:tabs>
          <w:tab w:val="left" w:pos="426"/>
        </w:tabs>
        <w:spacing w:before="240"/>
        <w:rPr>
          <w:iCs/>
          <w:szCs w:val="24"/>
        </w:rPr>
      </w:pPr>
      <w:r>
        <w:rPr>
          <w:bCs/>
          <w:szCs w:val="24"/>
        </w:rPr>
        <w:t>M</w:t>
      </w:r>
      <w:r w:rsidRPr="002B3BA7">
        <w:rPr>
          <w:bCs/>
          <w:szCs w:val="24"/>
        </w:rPr>
        <w:t>edzinárodné morské právo, právne režimy Antarktídy, Arktídy</w:t>
      </w:r>
      <w:r>
        <w:rPr>
          <w:bCs/>
          <w:szCs w:val="24"/>
        </w:rPr>
        <w:t xml:space="preserve">, </w:t>
      </w:r>
      <w:r w:rsidRPr="002B3BA7">
        <w:rPr>
          <w:bCs/>
          <w:szCs w:val="24"/>
        </w:rPr>
        <w:t>medzinárodné právo životného prostredia</w:t>
      </w:r>
      <w:r w:rsidRPr="00EE61C5">
        <w:rPr>
          <w:szCs w:val="24"/>
        </w:rPr>
        <w:t xml:space="preserve"> </w:t>
      </w:r>
      <w:r w:rsidRPr="002B3BA7">
        <w:rPr>
          <w:bCs/>
          <w:szCs w:val="24"/>
        </w:rPr>
        <w:t xml:space="preserve"> </w:t>
      </w:r>
      <w:r w:rsidRPr="002B3BA7">
        <w:rPr>
          <w:iCs/>
          <w:szCs w:val="24"/>
        </w:rPr>
        <w:t xml:space="preserve"> </w:t>
      </w:r>
    </w:p>
    <w:p w14:paraId="5E44E622" w14:textId="1E2E0896" w:rsidR="008A70BB" w:rsidRPr="008A70BB" w:rsidRDefault="008A70BB" w:rsidP="0003312F">
      <w:pPr>
        <w:pStyle w:val="Odsekzoznamu"/>
        <w:numPr>
          <w:ilvl w:val="0"/>
          <w:numId w:val="9"/>
        </w:numPr>
        <w:tabs>
          <w:tab w:val="left" w:pos="426"/>
        </w:tabs>
        <w:spacing w:before="240"/>
        <w:rPr>
          <w:iCs/>
          <w:szCs w:val="24"/>
        </w:rPr>
      </w:pPr>
      <w:r w:rsidRPr="002B3BA7">
        <w:rPr>
          <w:szCs w:val="24"/>
        </w:rPr>
        <w:t xml:space="preserve">Medzinárodnoprávny režim vzdušného priestoru, </w:t>
      </w:r>
      <w:r w:rsidRPr="002B3BA7">
        <w:rPr>
          <w:bCs/>
          <w:szCs w:val="24"/>
        </w:rPr>
        <w:t xml:space="preserve">medzinárodné kozmické právo, </w:t>
      </w:r>
      <w:r>
        <w:rPr>
          <w:szCs w:val="24"/>
        </w:rPr>
        <w:t>m</w:t>
      </w:r>
      <w:r w:rsidRPr="002B3BA7">
        <w:rPr>
          <w:szCs w:val="24"/>
        </w:rPr>
        <w:t xml:space="preserve">edzinárodné </w:t>
      </w:r>
      <w:r w:rsidRPr="002B3BA7">
        <w:rPr>
          <w:bCs/>
          <w:szCs w:val="24"/>
        </w:rPr>
        <w:t>riečne právo</w:t>
      </w:r>
    </w:p>
    <w:p w14:paraId="3C740DC5" w14:textId="220E9F98" w:rsidR="008A70BB" w:rsidRPr="007F47D2" w:rsidRDefault="008A70BB" w:rsidP="0003312F">
      <w:pPr>
        <w:pStyle w:val="Odsekzoznamu"/>
        <w:numPr>
          <w:ilvl w:val="0"/>
          <w:numId w:val="9"/>
        </w:numPr>
        <w:spacing w:before="240"/>
        <w:ind w:left="714" w:hanging="357"/>
        <w:rPr>
          <w:szCs w:val="24"/>
        </w:rPr>
      </w:pPr>
      <w:r w:rsidRPr="002B3BA7">
        <w:rPr>
          <w:szCs w:val="24"/>
        </w:rPr>
        <w:t xml:space="preserve">Prípad </w:t>
      </w:r>
      <w:proofErr w:type="spellStart"/>
      <w:r w:rsidRPr="002B3BA7">
        <w:rPr>
          <w:szCs w:val="24"/>
        </w:rPr>
        <w:t>López</w:t>
      </w:r>
      <w:proofErr w:type="spellEnd"/>
      <w:r w:rsidRPr="002B3BA7">
        <w:rPr>
          <w:szCs w:val="24"/>
        </w:rPr>
        <w:t xml:space="preserve"> Ostra proti Španielsku, Európsky súd pre ľudské práva, rozsudok z 9. decembra 1994</w:t>
      </w:r>
    </w:p>
    <w:p w14:paraId="676678F6" w14:textId="3942383B" w:rsidR="008A70BB" w:rsidRPr="002B3BA7" w:rsidRDefault="008A70BB" w:rsidP="0003312F">
      <w:pPr>
        <w:pStyle w:val="Odsekzoznamu"/>
        <w:numPr>
          <w:ilvl w:val="0"/>
          <w:numId w:val="9"/>
        </w:numPr>
        <w:tabs>
          <w:tab w:val="left" w:pos="426"/>
        </w:tabs>
        <w:spacing w:before="240"/>
        <w:rPr>
          <w:iCs/>
          <w:szCs w:val="24"/>
        </w:rPr>
      </w:pPr>
      <w:r w:rsidRPr="002B3BA7">
        <w:rPr>
          <w:szCs w:val="24"/>
        </w:rPr>
        <w:t xml:space="preserve">Prípad Chrám </w:t>
      </w:r>
      <w:proofErr w:type="spellStart"/>
      <w:r w:rsidRPr="002B3BA7">
        <w:rPr>
          <w:szCs w:val="24"/>
        </w:rPr>
        <w:t>Preah</w:t>
      </w:r>
      <w:proofErr w:type="spellEnd"/>
      <w:r w:rsidRPr="002B3BA7">
        <w:rPr>
          <w:szCs w:val="24"/>
        </w:rPr>
        <w:t xml:space="preserve"> </w:t>
      </w:r>
      <w:proofErr w:type="spellStart"/>
      <w:r w:rsidRPr="002B3BA7">
        <w:rPr>
          <w:szCs w:val="24"/>
        </w:rPr>
        <w:t>Vihear</w:t>
      </w:r>
      <w:proofErr w:type="spellEnd"/>
      <w:r w:rsidRPr="002B3BA7">
        <w:rPr>
          <w:szCs w:val="24"/>
        </w:rPr>
        <w:t xml:space="preserve">, Kambodža proti Thajsku, Medzinárodný súdny dvor, rozsudok z 15. júna 1962 </w:t>
      </w:r>
    </w:p>
    <w:p w14:paraId="613B7472" w14:textId="5CBC8FAF" w:rsidR="008A70BB" w:rsidRPr="0003312F" w:rsidRDefault="008A70BB" w:rsidP="0003312F">
      <w:pPr>
        <w:pStyle w:val="Odsekzoznamu"/>
        <w:numPr>
          <w:ilvl w:val="0"/>
          <w:numId w:val="9"/>
        </w:numPr>
        <w:tabs>
          <w:tab w:val="left" w:pos="426"/>
        </w:tabs>
        <w:spacing w:before="240"/>
        <w:rPr>
          <w:iCs/>
          <w:szCs w:val="24"/>
        </w:rPr>
      </w:pPr>
      <w:r w:rsidRPr="002B3BA7">
        <w:rPr>
          <w:szCs w:val="24"/>
        </w:rPr>
        <w:t xml:space="preserve">Prípad  Ostrov </w:t>
      </w:r>
      <w:proofErr w:type="spellStart"/>
      <w:r w:rsidRPr="002B3BA7">
        <w:rPr>
          <w:szCs w:val="24"/>
        </w:rPr>
        <w:t>Palmas</w:t>
      </w:r>
      <w:proofErr w:type="spellEnd"/>
      <w:r w:rsidRPr="002B3BA7">
        <w:rPr>
          <w:szCs w:val="24"/>
        </w:rPr>
        <w:t xml:space="preserve">, USA proti Holandsku, Stály arbitrážny dvor, </w:t>
      </w:r>
      <w:r w:rsidR="008D277C">
        <w:rPr>
          <w:szCs w:val="24"/>
        </w:rPr>
        <w:t>arbitrážny nález</w:t>
      </w:r>
      <w:r w:rsidRPr="002B3BA7">
        <w:rPr>
          <w:szCs w:val="24"/>
        </w:rPr>
        <w:t xml:space="preserve"> zo 4. apríla 1928</w:t>
      </w:r>
    </w:p>
    <w:p w14:paraId="48E12402" w14:textId="002F4F1A" w:rsidR="0003312F" w:rsidRDefault="0003312F" w:rsidP="0003312F">
      <w:pPr>
        <w:pStyle w:val="Odsekzoznamu"/>
        <w:tabs>
          <w:tab w:val="left" w:pos="426"/>
        </w:tabs>
        <w:spacing w:before="240"/>
        <w:rPr>
          <w:szCs w:val="24"/>
        </w:rPr>
      </w:pPr>
    </w:p>
    <w:p w14:paraId="31FA3AEA" w14:textId="77777777" w:rsidR="0003312F" w:rsidRPr="002B3BA7" w:rsidRDefault="0003312F" w:rsidP="0003312F">
      <w:pPr>
        <w:pStyle w:val="Odsekzoznamu"/>
        <w:tabs>
          <w:tab w:val="left" w:pos="426"/>
        </w:tabs>
        <w:spacing w:before="240"/>
        <w:rPr>
          <w:iCs/>
          <w:szCs w:val="24"/>
        </w:rPr>
      </w:pPr>
    </w:p>
    <w:p w14:paraId="61D88F33" w14:textId="52522AA1" w:rsidR="00820F87" w:rsidRPr="002B3BA7" w:rsidRDefault="008A70BB" w:rsidP="00D16AF0">
      <w:pPr>
        <w:spacing w:before="240"/>
        <w:jc w:val="both"/>
      </w:pPr>
      <w:r>
        <w:rPr>
          <w:b/>
        </w:rPr>
        <w:lastRenderedPageBreak/>
        <w:t xml:space="preserve">3. </w:t>
      </w:r>
      <w:r w:rsidR="00D16AF0">
        <w:rPr>
          <w:b/>
        </w:rPr>
        <w:t>skupina tém</w:t>
      </w:r>
      <w:r w:rsidR="00C51F27" w:rsidRPr="002B3BA7">
        <w:t xml:space="preserve">: </w:t>
      </w:r>
    </w:p>
    <w:p w14:paraId="7AF43132" w14:textId="0FFE63B1" w:rsidR="001B46E4" w:rsidRPr="002B3BA7" w:rsidRDefault="00043B81" w:rsidP="0003312F">
      <w:pPr>
        <w:pStyle w:val="Odsekzoznamu"/>
        <w:numPr>
          <w:ilvl w:val="0"/>
          <w:numId w:val="9"/>
        </w:numPr>
        <w:spacing w:before="240"/>
        <w:rPr>
          <w:bCs/>
          <w:iCs/>
          <w:szCs w:val="24"/>
        </w:rPr>
      </w:pPr>
      <w:r w:rsidRPr="002B3BA7">
        <w:rPr>
          <w:bCs/>
          <w:szCs w:val="24"/>
        </w:rPr>
        <w:t>Členenie štátnych orgánov pre medzinárodné styky, vnútroštátne štátne orgány pre medzinárodné styky</w:t>
      </w:r>
      <w:r w:rsidR="00EE61C5">
        <w:rPr>
          <w:bCs/>
          <w:szCs w:val="24"/>
        </w:rPr>
        <w:t>, vojenské jednotky, lode a lietadlá, štátne lode a lietadlá v zahraničí</w:t>
      </w:r>
    </w:p>
    <w:p w14:paraId="4FEB1B36" w14:textId="4D6A15F6" w:rsidR="00043B81" w:rsidRPr="002B3BA7" w:rsidRDefault="00043B81" w:rsidP="0003312F">
      <w:pPr>
        <w:pStyle w:val="Odsekzoznamu"/>
        <w:numPr>
          <w:ilvl w:val="0"/>
          <w:numId w:val="9"/>
        </w:numPr>
        <w:spacing w:before="240"/>
        <w:rPr>
          <w:bCs/>
          <w:iCs/>
          <w:szCs w:val="24"/>
        </w:rPr>
      </w:pPr>
      <w:r w:rsidRPr="002B3BA7">
        <w:rPr>
          <w:bCs/>
          <w:szCs w:val="24"/>
        </w:rPr>
        <w:t>Zahraničné štátne orgány pre medzinárodné styky, medzinárodné diplomatické právo a medzinárodné konzulárne právo</w:t>
      </w:r>
    </w:p>
    <w:p w14:paraId="4F6F42CD" w14:textId="340A2EE8" w:rsidR="00192E8A" w:rsidRPr="007F47D2" w:rsidRDefault="00043B81" w:rsidP="0003312F">
      <w:pPr>
        <w:pStyle w:val="Odsekzoznamu"/>
        <w:numPr>
          <w:ilvl w:val="0"/>
          <w:numId w:val="9"/>
        </w:numPr>
        <w:spacing w:before="240"/>
        <w:ind w:left="714" w:hanging="357"/>
        <w:rPr>
          <w:szCs w:val="24"/>
        </w:rPr>
      </w:pPr>
      <w:r w:rsidRPr="002B3BA7">
        <w:rPr>
          <w:bCs/>
          <w:szCs w:val="24"/>
        </w:rPr>
        <w:t>Právo medzinárodných orgánov a organizácií, definície, odlišnosti, vývoj a súčasná podoba práva medzinárodných orgánov, vývoj a súčasná podoba práva medzinárodných organizácií</w:t>
      </w:r>
      <w:r w:rsidR="00192E8A" w:rsidRPr="002B3BA7">
        <w:rPr>
          <w:bCs/>
          <w:szCs w:val="24"/>
        </w:rPr>
        <w:t>, vybrané medzinárodné univerzálne, partikulárne a regionálne medzinárodné organizácie</w:t>
      </w:r>
    </w:p>
    <w:p w14:paraId="0F4C5A19" w14:textId="77777777" w:rsidR="007F47D2" w:rsidRPr="002B3BA7" w:rsidRDefault="007F47D2" w:rsidP="0003312F">
      <w:pPr>
        <w:pStyle w:val="Odsekzoznamu"/>
        <w:numPr>
          <w:ilvl w:val="0"/>
          <w:numId w:val="9"/>
        </w:numPr>
        <w:tabs>
          <w:tab w:val="left" w:pos="426"/>
        </w:tabs>
        <w:spacing w:before="240"/>
        <w:rPr>
          <w:iCs/>
          <w:szCs w:val="24"/>
        </w:rPr>
      </w:pPr>
      <w:r w:rsidRPr="002B3BA7">
        <w:rPr>
          <w:szCs w:val="24"/>
        </w:rPr>
        <w:t xml:space="preserve">Prípad </w:t>
      </w:r>
      <w:proofErr w:type="spellStart"/>
      <w:r w:rsidRPr="002B3BA7">
        <w:rPr>
          <w:szCs w:val="24"/>
        </w:rPr>
        <w:t>Severomorský</w:t>
      </w:r>
      <w:proofErr w:type="spellEnd"/>
      <w:r w:rsidRPr="002B3BA7">
        <w:rPr>
          <w:szCs w:val="24"/>
        </w:rPr>
        <w:t xml:space="preserve"> kontinentálny </w:t>
      </w:r>
      <w:proofErr w:type="spellStart"/>
      <w:r w:rsidRPr="002B3BA7">
        <w:rPr>
          <w:szCs w:val="24"/>
        </w:rPr>
        <w:t>šelf</w:t>
      </w:r>
      <w:proofErr w:type="spellEnd"/>
      <w:r w:rsidRPr="002B3BA7">
        <w:rPr>
          <w:szCs w:val="24"/>
        </w:rPr>
        <w:t>, SRN proti Dánsku a SRN proti Holandsku, Medzinárodný súdny dvor, rozsudok z 20.februára 1969</w:t>
      </w:r>
    </w:p>
    <w:p w14:paraId="7F291CC3" w14:textId="77777777" w:rsidR="007F47D2" w:rsidRPr="002B3BA7" w:rsidRDefault="007F47D2" w:rsidP="0003312F">
      <w:pPr>
        <w:pStyle w:val="Odsekzoznamu"/>
        <w:numPr>
          <w:ilvl w:val="0"/>
          <w:numId w:val="9"/>
        </w:numPr>
        <w:tabs>
          <w:tab w:val="left" w:pos="426"/>
        </w:tabs>
        <w:spacing w:before="240"/>
        <w:rPr>
          <w:bCs/>
          <w:iCs/>
          <w:szCs w:val="24"/>
        </w:rPr>
      </w:pPr>
      <w:r w:rsidRPr="002B3BA7">
        <w:rPr>
          <w:szCs w:val="24"/>
        </w:rPr>
        <w:t>Prípad Veľrybárstvo v Antarktíde,</w:t>
      </w:r>
      <w:r w:rsidRPr="002B3BA7">
        <w:rPr>
          <w:rStyle w:val="Odkaznapoznmkupodiarou"/>
          <w:szCs w:val="24"/>
        </w:rPr>
        <w:t xml:space="preserve">  </w:t>
      </w:r>
      <w:r w:rsidRPr="002B3BA7">
        <w:rPr>
          <w:szCs w:val="24"/>
        </w:rPr>
        <w:t>Austrália proti Japonsku (Nový Zéland intervenujúci), Medzinárodný súdny dvor, rozsudok z 13. marca 2014</w:t>
      </w:r>
    </w:p>
    <w:p w14:paraId="0E708FE1" w14:textId="77777777" w:rsidR="007F47D2" w:rsidRPr="002B3BA7" w:rsidRDefault="007F47D2" w:rsidP="00D16AF0">
      <w:pPr>
        <w:pStyle w:val="Odsekzoznamu"/>
        <w:ind w:left="714"/>
        <w:rPr>
          <w:szCs w:val="24"/>
        </w:rPr>
      </w:pPr>
    </w:p>
    <w:p w14:paraId="5CE329FF" w14:textId="1FB2A635" w:rsidR="008B76CE" w:rsidRDefault="007F47D2" w:rsidP="00D16AF0">
      <w:pPr>
        <w:spacing w:before="240" w:after="240"/>
        <w:jc w:val="both"/>
      </w:pPr>
      <w:r>
        <w:rPr>
          <w:b/>
          <w:bCs/>
          <w:iCs/>
        </w:rPr>
        <w:t xml:space="preserve">4. </w:t>
      </w:r>
      <w:r w:rsidR="00D16AF0">
        <w:rPr>
          <w:b/>
          <w:bCs/>
          <w:iCs/>
        </w:rPr>
        <w:t>skupina tém</w:t>
      </w:r>
      <w:r w:rsidR="00C51F27" w:rsidRPr="002B3BA7">
        <w:t xml:space="preserve"> </w:t>
      </w:r>
    </w:p>
    <w:p w14:paraId="11CF122D" w14:textId="058F86EB" w:rsidR="00FD44FF" w:rsidRPr="002B3BA7" w:rsidRDefault="00192E8A" w:rsidP="0003312F">
      <w:pPr>
        <w:pStyle w:val="Odsekzoznamu"/>
        <w:numPr>
          <w:ilvl w:val="0"/>
          <w:numId w:val="9"/>
        </w:numPr>
        <w:spacing w:before="240"/>
        <w:rPr>
          <w:bCs/>
          <w:szCs w:val="24"/>
        </w:rPr>
      </w:pPr>
      <w:r w:rsidRPr="002B3BA7">
        <w:rPr>
          <w:bCs/>
          <w:szCs w:val="24"/>
        </w:rPr>
        <w:t>Medzinárodné právo ozbrojených konfliktov, medzinárodné humanitárne právo</w:t>
      </w:r>
    </w:p>
    <w:p w14:paraId="6E3789C9" w14:textId="53871DA1" w:rsidR="00192E8A" w:rsidRPr="002B3BA7" w:rsidRDefault="00192E8A" w:rsidP="0003312F">
      <w:pPr>
        <w:pStyle w:val="Odsekzoznamu"/>
        <w:numPr>
          <w:ilvl w:val="0"/>
          <w:numId w:val="9"/>
        </w:numPr>
        <w:spacing w:before="240"/>
        <w:rPr>
          <w:bCs/>
          <w:szCs w:val="24"/>
        </w:rPr>
      </w:pPr>
      <w:r w:rsidRPr="002B3BA7">
        <w:rPr>
          <w:bCs/>
          <w:szCs w:val="24"/>
        </w:rPr>
        <w:t>Medzinárodné právo odzbrojenia</w:t>
      </w:r>
    </w:p>
    <w:p w14:paraId="01889577" w14:textId="7BC2A8E5" w:rsidR="00192E8A" w:rsidRPr="002B3BA7" w:rsidRDefault="00192E8A" w:rsidP="0003312F">
      <w:pPr>
        <w:pStyle w:val="Odsekzoznamu"/>
        <w:numPr>
          <w:ilvl w:val="0"/>
          <w:numId w:val="9"/>
        </w:numPr>
        <w:spacing w:before="240"/>
        <w:ind w:left="714" w:hanging="357"/>
        <w:rPr>
          <w:bCs/>
          <w:szCs w:val="24"/>
        </w:rPr>
      </w:pPr>
      <w:r w:rsidRPr="002B3BA7">
        <w:rPr>
          <w:bCs/>
          <w:szCs w:val="24"/>
        </w:rPr>
        <w:t xml:space="preserve">Medzinárodné trestné právo, potieranie bežnej trestnej činnosti v medzinárodnom práve, stíhanie zločinov podľa medzinárodného práva, </w:t>
      </w:r>
      <w:proofErr w:type="spellStart"/>
      <w:r w:rsidRPr="002B3BA7">
        <w:rPr>
          <w:bCs/>
          <w:szCs w:val="24"/>
        </w:rPr>
        <w:t>extradícia</w:t>
      </w:r>
      <w:proofErr w:type="spellEnd"/>
      <w:r w:rsidRPr="002B3BA7">
        <w:rPr>
          <w:bCs/>
          <w:szCs w:val="24"/>
        </w:rPr>
        <w:t xml:space="preserve"> v medzinárodnom práve</w:t>
      </w:r>
    </w:p>
    <w:p w14:paraId="1197C6A8" w14:textId="6BD8470C" w:rsidR="003D5019" w:rsidRPr="003D5019" w:rsidRDefault="003D5019" w:rsidP="0003312F">
      <w:pPr>
        <w:pStyle w:val="Odsekzoznamu"/>
        <w:numPr>
          <w:ilvl w:val="0"/>
          <w:numId w:val="9"/>
        </w:numPr>
        <w:spacing w:before="240"/>
        <w:ind w:left="714" w:hanging="357"/>
        <w:rPr>
          <w:bCs/>
          <w:szCs w:val="24"/>
        </w:rPr>
      </w:pPr>
      <w:r w:rsidRPr="002B3BA7">
        <w:rPr>
          <w:szCs w:val="24"/>
        </w:rPr>
        <w:t>Prípad Východné Grónsko, Dánsko proti Nórsku, Stály dvor medzinárodnej spravodlivosti, rozsudok z 5. apríla 1933</w:t>
      </w:r>
    </w:p>
    <w:p w14:paraId="4FF90976" w14:textId="103BD770" w:rsidR="00FD44FF" w:rsidRDefault="00192E8A" w:rsidP="0003312F">
      <w:pPr>
        <w:pStyle w:val="Odsekzoznamu"/>
        <w:numPr>
          <w:ilvl w:val="0"/>
          <w:numId w:val="9"/>
        </w:numPr>
        <w:spacing w:before="240"/>
        <w:ind w:left="714" w:hanging="357"/>
        <w:rPr>
          <w:szCs w:val="24"/>
        </w:rPr>
      </w:pPr>
      <w:r w:rsidRPr="002B3BA7">
        <w:rPr>
          <w:szCs w:val="24"/>
        </w:rPr>
        <w:t xml:space="preserve">Prípad Diplomatický a konzulárny personál USA v Teheráne, USA proti Iránu, Medzinárodný súdny dvor, rozsudok z  24. mája 1980  </w:t>
      </w:r>
    </w:p>
    <w:p w14:paraId="62C4A061" w14:textId="77777777" w:rsidR="0003312F" w:rsidRDefault="0003312F" w:rsidP="0003312F">
      <w:pPr>
        <w:pStyle w:val="Odsekzoznamu"/>
        <w:spacing w:before="240"/>
        <w:ind w:left="714"/>
        <w:rPr>
          <w:szCs w:val="24"/>
        </w:rPr>
      </w:pPr>
    </w:p>
    <w:p w14:paraId="59B954A4" w14:textId="2367D344" w:rsidR="008B76CE" w:rsidRDefault="003D78E5" w:rsidP="00D16AF0">
      <w:pPr>
        <w:spacing w:before="240"/>
      </w:pPr>
      <w:r w:rsidRPr="002B3BA7">
        <w:t xml:space="preserve">V Košiciach </w:t>
      </w:r>
      <w:r w:rsidR="00E20D33">
        <w:t xml:space="preserve">3. februára </w:t>
      </w:r>
      <w:r w:rsidR="001B46E4" w:rsidRPr="002B3BA7">
        <w:t>202</w:t>
      </w:r>
      <w:r w:rsidR="00E20D33">
        <w:t>6</w:t>
      </w:r>
    </w:p>
    <w:p w14:paraId="6120A434" w14:textId="77777777" w:rsidR="00E20D33" w:rsidRPr="002B3BA7" w:rsidRDefault="00E20D33" w:rsidP="00D16AF0">
      <w:pPr>
        <w:spacing w:before="240"/>
      </w:pPr>
    </w:p>
    <w:p w14:paraId="35F103A0" w14:textId="77777777" w:rsidR="008B76CE" w:rsidRPr="002B3BA7" w:rsidRDefault="008B76CE">
      <w:pPr>
        <w:ind w:left="426" w:hanging="426"/>
        <w:jc w:val="both"/>
      </w:pPr>
    </w:p>
    <w:p w14:paraId="7A24E81D" w14:textId="56895C35" w:rsidR="008B76CE" w:rsidRPr="002B3BA7" w:rsidRDefault="00554E31">
      <w:pPr>
        <w:ind w:firstLine="2670"/>
        <w:jc w:val="center"/>
      </w:pPr>
      <w:r>
        <w:t>prof</w:t>
      </w:r>
      <w:r w:rsidR="008B76CE" w:rsidRPr="002B3BA7">
        <w:t xml:space="preserve">. JUDr. Martina Jánošíková, </w:t>
      </w:r>
      <w:proofErr w:type="spellStart"/>
      <w:r w:rsidR="008B76CE" w:rsidRPr="002B3BA7">
        <w:t>Ph.D</w:t>
      </w:r>
      <w:proofErr w:type="spellEnd"/>
      <w:r w:rsidR="008B76CE" w:rsidRPr="002B3BA7">
        <w:t>.</w:t>
      </w:r>
    </w:p>
    <w:p w14:paraId="3C52F179" w14:textId="77777777" w:rsidR="00E20D33" w:rsidRDefault="00CE45CA">
      <w:pPr>
        <w:ind w:firstLine="2670"/>
        <w:jc w:val="center"/>
      </w:pPr>
      <w:r w:rsidRPr="002B3BA7">
        <w:t>riaditeľka</w:t>
      </w:r>
      <w:r w:rsidR="00310CD8" w:rsidRPr="002B3BA7">
        <w:t xml:space="preserve"> </w:t>
      </w:r>
    </w:p>
    <w:p w14:paraId="74E99C50" w14:textId="3C484A30" w:rsidR="00CE45CA" w:rsidRPr="002B3BA7" w:rsidRDefault="00CE45CA">
      <w:pPr>
        <w:ind w:firstLine="2670"/>
        <w:jc w:val="center"/>
      </w:pPr>
      <w:bookmarkStart w:id="0" w:name="_GoBack"/>
      <w:bookmarkEnd w:id="0"/>
      <w:r w:rsidRPr="002B3BA7">
        <w:t>Ústavu medzinárodného práva a európskeho práva</w:t>
      </w:r>
    </w:p>
    <w:sectPr w:rsidR="00CE45CA" w:rsidRPr="002B3BA7">
      <w:footerReference w:type="default" r:id="rId8"/>
      <w:pgSz w:w="11906" w:h="16838"/>
      <w:pgMar w:top="1418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DB221" w14:textId="77777777" w:rsidR="00517F93" w:rsidRDefault="00517F93">
      <w:r>
        <w:separator/>
      </w:r>
    </w:p>
  </w:endnote>
  <w:endnote w:type="continuationSeparator" w:id="0">
    <w:p w14:paraId="54085C08" w14:textId="77777777" w:rsidR="00517F93" w:rsidRDefault="0051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895D7" w14:textId="77777777" w:rsidR="00F760E2" w:rsidRDefault="00F760E2">
    <w:pPr>
      <w:pStyle w:val="Pta"/>
      <w:jc w:val="center"/>
    </w:pPr>
  </w:p>
  <w:p w14:paraId="2EC901CB" w14:textId="77777777" w:rsidR="00F760E2" w:rsidRDefault="00F760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8920B" w14:textId="77777777" w:rsidR="00517F93" w:rsidRDefault="00517F93">
      <w:r>
        <w:separator/>
      </w:r>
    </w:p>
  </w:footnote>
  <w:footnote w:type="continuationSeparator" w:id="0">
    <w:p w14:paraId="7B34E786" w14:textId="77777777" w:rsidR="00517F93" w:rsidRDefault="00517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5DFA9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D1508F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42F12B9"/>
    <w:multiLevelType w:val="hybridMultilevel"/>
    <w:tmpl w:val="7FF2ED2C"/>
    <w:lvl w:ilvl="0" w:tplc="51D0EA9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D4807"/>
    <w:multiLevelType w:val="hybridMultilevel"/>
    <w:tmpl w:val="1C2C32B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42F9C"/>
    <w:multiLevelType w:val="hybridMultilevel"/>
    <w:tmpl w:val="1B7E0A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71913"/>
    <w:multiLevelType w:val="hybridMultilevel"/>
    <w:tmpl w:val="483EDA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A27D6"/>
    <w:multiLevelType w:val="hybridMultilevel"/>
    <w:tmpl w:val="EFBA4870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4D320C"/>
    <w:multiLevelType w:val="hybridMultilevel"/>
    <w:tmpl w:val="51A80912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CA"/>
    <w:rsid w:val="00013D5E"/>
    <w:rsid w:val="0003312F"/>
    <w:rsid w:val="00033E85"/>
    <w:rsid w:val="00043B81"/>
    <w:rsid w:val="00054C44"/>
    <w:rsid w:val="0009414F"/>
    <w:rsid w:val="000A24A1"/>
    <w:rsid w:val="001016AA"/>
    <w:rsid w:val="00123427"/>
    <w:rsid w:val="00192E8A"/>
    <w:rsid w:val="00194F68"/>
    <w:rsid w:val="001B46E4"/>
    <w:rsid w:val="001D0739"/>
    <w:rsid w:val="00255F66"/>
    <w:rsid w:val="002B3BA7"/>
    <w:rsid w:val="002D51A1"/>
    <w:rsid w:val="002F67F9"/>
    <w:rsid w:val="00306A24"/>
    <w:rsid w:val="0031086D"/>
    <w:rsid w:val="00310CD8"/>
    <w:rsid w:val="00331727"/>
    <w:rsid w:val="00385C64"/>
    <w:rsid w:val="003B3536"/>
    <w:rsid w:val="003D046A"/>
    <w:rsid w:val="003D3E81"/>
    <w:rsid w:val="003D5019"/>
    <w:rsid w:val="003D78E5"/>
    <w:rsid w:val="003E4981"/>
    <w:rsid w:val="003E6294"/>
    <w:rsid w:val="003F6CEE"/>
    <w:rsid w:val="00410D86"/>
    <w:rsid w:val="0045238F"/>
    <w:rsid w:val="004B4DF4"/>
    <w:rsid w:val="004C12F3"/>
    <w:rsid w:val="004C4BD9"/>
    <w:rsid w:val="0050740A"/>
    <w:rsid w:val="00511B6E"/>
    <w:rsid w:val="0051391F"/>
    <w:rsid w:val="00517F93"/>
    <w:rsid w:val="0053399B"/>
    <w:rsid w:val="00536A5C"/>
    <w:rsid w:val="00554E31"/>
    <w:rsid w:val="0057589F"/>
    <w:rsid w:val="005F21BF"/>
    <w:rsid w:val="00622197"/>
    <w:rsid w:val="00637289"/>
    <w:rsid w:val="0067087A"/>
    <w:rsid w:val="006B2EAC"/>
    <w:rsid w:val="006E2942"/>
    <w:rsid w:val="00744854"/>
    <w:rsid w:val="0078028F"/>
    <w:rsid w:val="007806DC"/>
    <w:rsid w:val="007F10F4"/>
    <w:rsid w:val="007F461B"/>
    <w:rsid w:val="007F47D2"/>
    <w:rsid w:val="007F665B"/>
    <w:rsid w:val="00820F87"/>
    <w:rsid w:val="008A70BB"/>
    <w:rsid w:val="008A75EE"/>
    <w:rsid w:val="008B25E0"/>
    <w:rsid w:val="008B76CE"/>
    <w:rsid w:val="008D277C"/>
    <w:rsid w:val="008E1904"/>
    <w:rsid w:val="008E2D5B"/>
    <w:rsid w:val="00940AB2"/>
    <w:rsid w:val="009521C9"/>
    <w:rsid w:val="00952A4B"/>
    <w:rsid w:val="009645C4"/>
    <w:rsid w:val="009D1D98"/>
    <w:rsid w:val="009D2305"/>
    <w:rsid w:val="009D29B7"/>
    <w:rsid w:val="00A52649"/>
    <w:rsid w:val="00AC16E2"/>
    <w:rsid w:val="00B033F6"/>
    <w:rsid w:val="00B11FDF"/>
    <w:rsid w:val="00B455DD"/>
    <w:rsid w:val="00B80007"/>
    <w:rsid w:val="00C07701"/>
    <w:rsid w:val="00C10F1F"/>
    <w:rsid w:val="00C44553"/>
    <w:rsid w:val="00C51F27"/>
    <w:rsid w:val="00C576EF"/>
    <w:rsid w:val="00C95177"/>
    <w:rsid w:val="00CA3763"/>
    <w:rsid w:val="00CB5C4C"/>
    <w:rsid w:val="00CE45CA"/>
    <w:rsid w:val="00CF162E"/>
    <w:rsid w:val="00D16AF0"/>
    <w:rsid w:val="00D2105F"/>
    <w:rsid w:val="00D4000D"/>
    <w:rsid w:val="00D97341"/>
    <w:rsid w:val="00DA513C"/>
    <w:rsid w:val="00E20D33"/>
    <w:rsid w:val="00E36BD0"/>
    <w:rsid w:val="00E71022"/>
    <w:rsid w:val="00EE61C5"/>
    <w:rsid w:val="00F45567"/>
    <w:rsid w:val="00F562A4"/>
    <w:rsid w:val="00F725A5"/>
    <w:rsid w:val="00F760E2"/>
    <w:rsid w:val="00F86AF1"/>
    <w:rsid w:val="00FD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14214"/>
  <w15:chartTrackingRefBased/>
  <w15:docId w15:val="{B3AF6BE1-7ECE-4CCF-935E-FF29AD20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4z0">
    <w:name w:val="WW8Num4z0"/>
    <w:rPr>
      <w:rFonts w:ascii="Arial" w:eastAsia="SimSu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1">
    <w:name w:val="WW8Num6z1"/>
    <w:rPr>
      <w:rFonts w:ascii="Times New Roman" w:eastAsia="SimSun" w:hAnsi="Times New Roman" w:cs="Times New Roman"/>
    </w:rPr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Predvolenpsmoodseku1">
    <w:name w:val="Predvolené písmo odseku1"/>
  </w:style>
  <w:style w:type="character" w:customStyle="1" w:styleId="HlavikaChar">
    <w:name w:val="Hlavička Char"/>
    <w:rPr>
      <w:sz w:val="24"/>
      <w:szCs w:val="24"/>
      <w:lang w:val="sk-SK" w:eastAsia="zh-CN"/>
    </w:rPr>
  </w:style>
  <w:style w:type="character" w:customStyle="1" w:styleId="PtaChar">
    <w:name w:val="Päta Char"/>
    <w:rPr>
      <w:sz w:val="24"/>
      <w:szCs w:val="24"/>
      <w:lang w:val="sk-SK" w:eastAsia="zh-CN"/>
    </w:rPr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TextkomentraChar">
    <w:name w:val="Text komentára Char"/>
    <w:rPr>
      <w:lang w:eastAsia="zh-CN"/>
    </w:rPr>
  </w:style>
  <w:style w:type="character" w:customStyle="1" w:styleId="PredmetkomentraChar">
    <w:name w:val="Predmet komentára Char"/>
    <w:rPr>
      <w:b/>
      <w:bCs/>
      <w:lang w:eastAsia="zh-CN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Lohit Hind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lny"/>
    <w:pPr>
      <w:suppressLineNumbers/>
    </w:pPr>
    <w:rPr>
      <w:rFonts w:cs="Lohit Hind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Textkomentra1">
    <w:name w:val="Text komentára1"/>
    <w:basedOn w:val="Normlny"/>
    <w:rPr>
      <w:sz w:val="20"/>
      <w:szCs w:val="20"/>
    </w:rPr>
  </w:style>
  <w:style w:type="paragraph" w:styleId="Predmetkomentra">
    <w:name w:val="annotation subject"/>
    <w:basedOn w:val="Textkomentra1"/>
    <w:next w:val="Textkomentra1"/>
    <w:rPr>
      <w:b/>
      <w:bCs/>
    </w:rPr>
  </w:style>
  <w:style w:type="paragraph" w:styleId="Odsekzoznamu">
    <w:name w:val="List Paragraph"/>
    <w:basedOn w:val="Normlny"/>
    <w:qFormat/>
    <w:pPr>
      <w:ind w:left="720"/>
      <w:jc w:val="both"/>
    </w:pPr>
    <w:rPr>
      <w:rFonts w:eastAsia="Calibri"/>
      <w:szCs w:val="22"/>
    </w:rPr>
  </w:style>
  <w:style w:type="character" w:styleId="Odkaznakomentr">
    <w:name w:val="annotation reference"/>
    <w:uiPriority w:val="99"/>
    <w:semiHidden/>
    <w:unhideWhenUsed/>
    <w:rsid w:val="00CE45CA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CE45CA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semiHidden/>
    <w:rsid w:val="00CE45CA"/>
    <w:rPr>
      <w:rFonts w:eastAsia="SimSun"/>
      <w:lang w:eastAsia="zh-CN"/>
    </w:rPr>
  </w:style>
  <w:style w:type="character" w:styleId="Odkaznapoznmkupodiarou">
    <w:name w:val="footnote reference"/>
    <w:uiPriority w:val="99"/>
    <w:unhideWhenUsed/>
    <w:rsid w:val="00043B81"/>
    <w:rPr>
      <w:vertAlign w:val="superscript"/>
    </w:rPr>
  </w:style>
  <w:style w:type="paragraph" w:styleId="Revzia">
    <w:name w:val="Revision"/>
    <w:hidden/>
    <w:uiPriority w:val="99"/>
    <w:semiHidden/>
    <w:rsid w:val="002F67F9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%20files\Dokumenty\E%20u%20r%20&#243;%20p%20s%20k%20e%20%20%20p%20r%20&#225;%20v%20o\administratne%20veci\informacny%20list,%20sylaby\sylaby_navrh%5b1%5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BFB46-0BA1-4528-BB25-44B27E1C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sylaby_navrh[1]</Template>
  <TotalTime>20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Pavla Jozefa Šafárika</vt:lpstr>
    </vt:vector>
  </TitlesOfParts>
  <Company>HP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Pavla Jozefa Šafárika</dc:title>
  <dc:subject/>
  <dc:creator>uzivatel</dc:creator>
  <cp:keywords/>
  <cp:lastModifiedBy>janosikova</cp:lastModifiedBy>
  <cp:revision>4</cp:revision>
  <cp:lastPrinted>2018-09-05T08:25:00Z</cp:lastPrinted>
  <dcterms:created xsi:type="dcterms:W3CDTF">2025-01-23T06:32:00Z</dcterms:created>
  <dcterms:modified xsi:type="dcterms:W3CDTF">2026-02-04T20:20:00Z</dcterms:modified>
</cp:coreProperties>
</file>