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44C53" w14:textId="77777777" w:rsidR="00CF0A67" w:rsidRDefault="004070E2">
      <w:pPr>
        <w:spacing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2670D2D0" w14:textId="77777777" w:rsidR="00CF0A67" w:rsidRDefault="004070E2">
      <w:pPr>
        <w:spacing w:after="866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5154340D" w14:textId="77777777" w:rsidR="00CF0A67" w:rsidRDefault="004070E2">
      <w:pPr>
        <w:tabs>
          <w:tab w:val="center" w:pos="4519"/>
        </w:tabs>
        <w:spacing w:line="259" w:lineRule="auto"/>
        <w:ind w:left="0" w:firstLine="0"/>
      </w:pP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rPr>
          <w:b/>
          <w:sz w:val="26"/>
        </w:rPr>
        <w:t xml:space="preserve">KATEDRA OBČIANSKEHO PRÁVA </w:t>
      </w:r>
    </w:p>
    <w:p w14:paraId="265DC34C" w14:textId="77777777" w:rsidR="00CF0A67" w:rsidRDefault="004070E2">
      <w:pPr>
        <w:spacing w:line="259" w:lineRule="auto"/>
        <w:ind w:left="0" w:firstLine="0"/>
      </w:pPr>
      <w:r>
        <w:t xml:space="preserve"> </w:t>
      </w:r>
    </w:p>
    <w:p w14:paraId="7619F5A6" w14:textId="77777777" w:rsidR="00CF0A67" w:rsidRDefault="004070E2">
      <w:pPr>
        <w:spacing w:line="259" w:lineRule="auto"/>
        <w:ind w:left="0" w:firstLine="0"/>
      </w:pPr>
      <w:r>
        <w:t xml:space="preserve"> </w:t>
      </w:r>
    </w:p>
    <w:p w14:paraId="5CF1E69A" w14:textId="77777777" w:rsidR="00CF0A67" w:rsidRDefault="004070E2">
      <w:pPr>
        <w:spacing w:line="259" w:lineRule="auto"/>
        <w:ind w:left="0" w:firstLine="0"/>
      </w:pPr>
      <w:r>
        <w:t xml:space="preserve"> </w:t>
      </w:r>
    </w:p>
    <w:p w14:paraId="4728812E" w14:textId="77777777" w:rsidR="00CF0A67" w:rsidRDefault="004070E2">
      <w:pPr>
        <w:spacing w:line="259" w:lineRule="auto"/>
        <w:ind w:left="898" w:firstLine="0"/>
        <w:jc w:val="center"/>
      </w:pPr>
      <w:r>
        <w:rPr>
          <w:b/>
        </w:rPr>
        <w:t xml:space="preserve">O T Á Z K Y </w:t>
      </w:r>
    </w:p>
    <w:p w14:paraId="77F09660" w14:textId="77777777" w:rsidR="00CF0A67" w:rsidRDefault="004070E2">
      <w:pPr>
        <w:spacing w:after="25" w:line="259" w:lineRule="auto"/>
        <w:ind w:left="958" w:firstLine="0"/>
        <w:jc w:val="center"/>
      </w:pPr>
      <w:r>
        <w:rPr>
          <w:b/>
        </w:rPr>
        <w:t xml:space="preserve"> </w:t>
      </w:r>
    </w:p>
    <w:p w14:paraId="63C5EAD1" w14:textId="77777777" w:rsidR="00CF0A67" w:rsidRDefault="004070E2">
      <w:pPr>
        <w:tabs>
          <w:tab w:val="center" w:pos="4649"/>
        </w:tabs>
        <w:spacing w:line="259" w:lineRule="auto"/>
        <w:ind w:left="0" w:firstLine="0"/>
      </w:pP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rPr>
          <w:sz w:val="26"/>
        </w:rPr>
        <w:t xml:space="preserve">na ústnu postupovú skúšku z predmetu OPH II. 2. ročník </w:t>
      </w:r>
    </w:p>
    <w:p w14:paraId="3ACE3D33" w14:textId="00C05CBA" w:rsidR="00CF0A67" w:rsidRDefault="004070E2">
      <w:pPr>
        <w:spacing w:line="242" w:lineRule="auto"/>
        <w:ind w:left="3682" w:right="2458" w:firstLine="0"/>
        <w:jc w:val="center"/>
      </w:pPr>
      <w:r>
        <w:rPr>
          <w:sz w:val="26"/>
        </w:rPr>
        <w:t>zimný semester ak. rok 202</w:t>
      </w:r>
      <w:r w:rsidR="00B12F3D">
        <w:rPr>
          <w:sz w:val="26"/>
        </w:rPr>
        <w:t>6</w:t>
      </w:r>
      <w:r>
        <w:rPr>
          <w:sz w:val="26"/>
        </w:rPr>
        <w:t>/202</w:t>
      </w:r>
      <w:r w:rsidR="00B12F3D">
        <w:rPr>
          <w:sz w:val="26"/>
        </w:rPr>
        <w:t>7</w:t>
      </w:r>
    </w:p>
    <w:p w14:paraId="150EAF3D" w14:textId="77777777" w:rsidR="00CF0A67" w:rsidRDefault="004070E2">
      <w:pPr>
        <w:spacing w:after="12" w:line="259" w:lineRule="auto"/>
        <w:ind w:left="0" w:firstLine="0"/>
      </w:pPr>
      <w:r>
        <w:t xml:space="preserve"> </w:t>
      </w:r>
    </w:p>
    <w:p w14:paraId="6F65653D" w14:textId="77777777" w:rsidR="00CF0A67" w:rsidRDefault="004070E2">
      <w:pPr>
        <w:spacing w:after="23" w:line="259" w:lineRule="auto"/>
        <w:ind w:left="0" w:firstLine="0"/>
      </w:pPr>
      <w:r>
        <w:t xml:space="preserve"> </w:t>
      </w:r>
    </w:p>
    <w:p w14:paraId="1FE9CA33" w14:textId="77777777" w:rsidR="00CF0A67" w:rsidRDefault="004070E2">
      <w:pPr>
        <w:numPr>
          <w:ilvl w:val="0"/>
          <w:numId w:val="1"/>
        </w:numPr>
        <w:spacing w:after="100"/>
        <w:ind w:hanging="423"/>
      </w:pPr>
      <w:r>
        <w:t xml:space="preserve">Pojem vecných práv a ich triedenie </w:t>
      </w:r>
    </w:p>
    <w:p w14:paraId="66FED5B9" w14:textId="77777777" w:rsidR="00CF0A67" w:rsidRDefault="004070E2">
      <w:pPr>
        <w:numPr>
          <w:ilvl w:val="0"/>
          <w:numId w:val="1"/>
        </w:numPr>
        <w:ind w:hanging="423"/>
      </w:pPr>
      <w:r>
        <w:t xml:space="preserve">Vlastnícke právo — pojem, funkcia a podstata </w:t>
      </w:r>
    </w:p>
    <w:p w14:paraId="595A1A2F" w14:textId="77777777" w:rsidR="00CF0A67" w:rsidRDefault="004070E2">
      <w:pPr>
        <w:numPr>
          <w:ilvl w:val="0"/>
          <w:numId w:val="1"/>
        </w:numPr>
        <w:ind w:hanging="423"/>
      </w:pPr>
      <w:r>
        <w:t xml:space="preserve">Výkon vlastníckeho práva a jeho obmedzenie </w:t>
      </w:r>
    </w:p>
    <w:p w14:paraId="70AB6034" w14:textId="77777777" w:rsidR="00CF0A67" w:rsidRDefault="004070E2">
      <w:pPr>
        <w:numPr>
          <w:ilvl w:val="0"/>
          <w:numId w:val="1"/>
        </w:numPr>
        <w:ind w:hanging="423"/>
      </w:pPr>
      <w:r>
        <w:t xml:space="preserve">Obsah vlastníckeho práva </w:t>
      </w:r>
    </w:p>
    <w:p w14:paraId="799690A4" w14:textId="77777777" w:rsidR="00CF0A67" w:rsidRDefault="004070E2">
      <w:pPr>
        <w:numPr>
          <w:ilvl w:val="0"/>
          <w:numId w:val="1"/>
        </w:numPr>
        <w:ind w:hanging="423"/>
      </w:pPr>
      <w:r>
        <w:t xml:space="preserve">Držba — všeobecná charakteristika </w:t>
      </w:r>
    </w:p>
    <w:p w14:paraId="2037D70B" w14:textId="77777777" w:rsidR="00CF0A67" w:rsidRDefault="004070E2">
      <w:pPr>
        <w:numPr>
          <w:ilvl w:val="0"/>
          <w:numId w:val="1"/>
        </w:numPr>
        <w:ind w:hanging="423"/>
      </w:pPr>
      <w:r>
        <w:t xml:space="preserve">Pojem a spôsob nadobudnutia vlastníckeho práva vo všeobecnosti </w:t>
      </w:r>
    </w:p>
    <w:p w14:paraId="19419764" w14:textId="77777777" w:rsidR="00CF0A67" w:rsidRDefault="004070E2">
      <w:pPr>
        <w:numPr>
          <w:ilvl w:val="0"/>
          <w:numId w:val="1"/>
        </w:numPr>
        <w:ind w:hanging="423"/>
      </w:pPr>
      <w:r>
        <w:t xml:space="preserve">Nadobudnutie vlastníckeho práva zmluvou </w:t>
      </w:r>
    </w:p>
    <w:p w14:paraId="04599B5E" w14:textId="77777777" w:rsidR="00CF0A67" w:rsidRDefault="004070E2">
      <w:pPr>
        <w:numPr>
          <w:ilvl w:val="0"/>
          <w:numId w:val="1"/>
        </w:numPr>
        <w:ind w:hanging="423"/>
      </w:pPr>
      <w:r>
        <w:t xml:space="preserve">Nadobudnutie vlastníckeho práva vydržaním </w:t>
      </w:r>
    </w:p>
    <w:p w14:paraId="7CAA15EC" w14:textId="77777777" w:rsidR="00CF0A67" w:rsidRDefault="004070E2">
      <w:pPr>
        <w:numPr>
          <w:ilvl w:val="0"/>
          <w:numId w:val="1"/>
        </w:numPr>
        <w:ind w:hanging="423"/>
      </w:pPr>
      <w:r>
        <w:t xml:space="preserve">Nadobudnutie vlastníckeho práva vytvorením, spracovaním, prírastkom </w:t>
      </w:r>
    </w:p>
    <w:p w14:paraId="24180874" w14:textId="77777777" w:rsidR="00CF0A67" w:rsidRDefault="004070E2">
      <w:pPr>
        <w:numPr>
          <w:ilvl w:val="0"/>
          <w:numId w:val="1"/>
        </w:numPr>
        <w:ind w:hanging="423"/>
      </w:pPr>
      <w:r>
        <w:t xml:space="preserve">Nadobudnutie vlastníckeho práva k veciam strateným, skrytým a </w:t>
      </w:r>
    </w:p>
    <w:p w14:paraId="49091E6F" w14:textId="77777777" w:rsidR="00CF0A67" w:rsidRDefault="004070E2">
      <w:pPr>
        <w:tabs>
          <w:tab w:val="center" w:pos="1487"/>
        </w:tabs>
        <w:ind w:left="-15" w:firstLine="0"/>
      </w:pP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t xml:space="preserve">opusteným </w:t>
      </w:r>
    </w:p>
    <w:p w14:paraId="7DE16F6C" w14:textId="77777777" w:rsidR="00CF0A67" w:rsidRDefault="004070E2">
      <w:pPr>
        <w:numPr>
          <w:ilvl w:val="0"/>
          <w:numId w:val="1"/>
        </w:numPr>
        <w:ind w:hanging="423"/>
      </w:pPr>
      <w:r>
        <w:t xml:space="preserve">Nadobudnutie vlastníckeho práva zo zákona, rozhodnutím štátneho orgánu </w:t>
      </w: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t xml:space="preserve">a príklepom licitátora </w:t>
      </w:r>
    </w:p>
    <w:p w14:paraId="4C7C800A" w14:textId="77777777" w:rsidR="00CF0A67" w:rsidRDefault="004070E2">
      <w:pPr>
        <w:numPr>
          <w:ilvl w:val="0"/>
          <w:numId w:val="1"/>
        </w:numPr>
        <w:ind w:hanging="423"/>
      </w:pPr>
      <w:r>
        <w:t xml:space="preserve">Ochrana vlastníckeho práva, držby a </w:t>
      </w:r>
      <w:proofErr w:type="spellStart"/>
      <w:r>
        <w:t>detencie</w:t>
      </w:r>
      <w:proofErr w:type="spellEnd"/>
      <w:r>
        <w:t xml:space="preserve"> </w:t>
      </w:r>
    </w:p>
    <w:p w14:paraId="5F48D892" w14:textId="77777777" w:rsidR="00CF0A67" w:rsidRDefault="004070E2">
      <w:pPr>
        <w:numPr>
          <w:ilvl w:val="0"/>
          <w:numId w:val="1"/>
        </w:numPr>
        <w:ind w:hanging="423"/>
      </w:pPr>
      <w:r>
        <w:t xml:space="preserve">Zánik ( strata ) vlastníckeho práva </w:t>
      </w:r>
    </w:p>
    <w:p w14:paraId="08A94A2F" w14:textId="77777777" w:rsidR="00CF0A67" w:rsidRDefault="004070E2">
      <w:pPr>
        <w:numPr>
          <w:ilvl w:val="0"/>
          <w:numId w:val="1"/>
        </w:numPr>
        <w:ind w:hanging="423"/>
      </w:pPr>
      <w:r>
        <w:t xml:space="preserve">Susedské práva </w:t>
      </w:r>
    </w:p>
    <w:p w14:paraId="618FAB30" w14:textId="77777777" w:rsidR="00CF0A67" w:rsidRDefault="004070E2">
      <w:pPr>
        <w:spacing w:after="22" w:line="259" w:lineRule="auto"/>
        <w:ind w:left="4767" w:firstLine="0"/>
      </w:pPr>
      <w:r>
        <w:rPr>
          <w:noProof/>
        </w:rPr>
        <w:drawing>
          <wp:inline distT="0" distB="0" distL="0" distR="0" wp14:anchorId="03F756D4" wp14:editId="42CAB358">
            <wp:extent cx="5080" cy="254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0" cy="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4087" w14:textId="77777777" w:rsidR="00CF0A67" w:rsidRDefault="004070E2">
      <w:pPr>
        <w:numPr>
          <w:ilvl w:val="0"/>
          <w:numId w:val="1"/>
        </w:numPr>
        <w:ind w:hanging="423"/>
      </w:pPr>
      <w:r>
        <w:t xml:space="preserve">Neoprávnená stavba </w:t>
      </w:r>
    </w:p>
    <w:p w14:paraId="2E63710E" w14:textId="77777777" w:rsidR="00CF0A67" w:rsidRDefault="004070E2">
      <w:pPr>
        <w:numPr>
          <w:ilvl w:val="0"/>
          <w:numId w:val="1"/>
        </w:numPr>
        <w:ind w:hanging="423"/>
      </w:pPr>
      <w:r>
        <w:t xml:space="preserve">Vlastnícke právo k nehnuteľnostiam </w:t>
      </w:r>
    </w:p>
    <w:p w14:paraId="37F50326" w14:textId="77777777" w:rsidR="00CF0A67" w:rsidRDefault="004070E2">
      <w:pPr>
        <w:numPr>
          <w:ilvl w:val="0"/>
          <w:numId w:val="1"/>
        </w:numPr>
        <w:ind w:hanging="423"/>
      </w:pPr>
      <w:r>
        <w:t xml:space="preserve">Vklad, záznam a poznámka </w:t>
      </w:r>
    </w:p>
    <w:p w14:paraId="4D869335" w14:textId="77777777" w:rsidR="00CF0A67" w:rsidRDefault="004070E2">
      <w:pPr>
        <w:numPr>
          <w:ilvl w:val="0"/>
          <w:numId w:val="1"/>
        </w:numPr>
        <w:ind w:hanging="423"/>
      </w:pPr>
      <w:r>
        <w:t xml:space="preserve">Vlastníctvo bytu a nebytového priestoru — všeobecne </w:t>
      </w:r>
    </w:p>
    <w:p w14:paraId="3ECA4041" w14:textId="77777777" w:rsidR="00CF0A67" w:rsidRDefault="004070E2">
      <w:pPr>
        <w:numPr>
          <w:ilvl w:val="0"/>
          <w:numId w:val="1"/>
        </w:numPr>
        <w:ind w:hanging="423"/>
      </w:pPr>
      <w:r>
        <w:t xml:space="preserve">Práva a povinnosti vlastníkov bytov a nebytových priestorov </w:t>
      </w:r>
    </w:p>
    <w:p w14:paraId="700FDBF2" w14:textId="77777777" w:rsidR="00CF0A67" w:rsidRDefault="004070E2">
      <w:pPr>
        <w:numPr>
          <w:ilvl w:val="0"/>
          <w:numId w:val="1"/>
        </w:numPr>
        <w:ind w:hanging="423"/>
      </w:pPr>
      <w:r>
        <w:t xml:space="preserve">Správa bytov a nebytových priestorov </w:t>
      </w:r>
    </w:p>
    <w:p w14:paraId="2B75C70E" w14:textId="77777777" w:rsidR="00CF0A67" w:rsidRDefault="004070E2">
      <w:pPr>
        <w:numPr>
          <w:ilvl w:val="0"/>
          <w:numId w:val="1"/>
        </w:numPr>
        <w:spacing w:after="29"/>
        <w:ind w:hanging="423"/>
      </w:pPr>
      <w:r>
        <w:t xml:space="preserve">Nadobúdanie vlastníckeho práva k bytom a nebytovým priestorom vrátane zmluvy o prevode vlastníctva bytu a nebytového priestoru v dome </w:t>
      </w:r>
    </w:p>
    <w:p w14:paraId="60622C64" w14:textId="77777777" w:rsidR="00CF0A67" w:rsidRDefault="004070E2">
      <w:pPr>
        <w:numPr>
          <w:ilvl w:val="0"/>
          <w:numId w:val="1"/>
        </w:numPr>
        <w:spacing w:after="108"/>
        <w:ind w:hanging="423"/>
      </w:pPr>
      <w:r>
        <w:t xml:space="preserve">Všeobecná charakteristika spoluvlastníctva </w:t>
      </w:r>
    </w:p>
    <w:p w14:paraId="314DDD08" w14:textId="77777777" w:rsidR="00CF0A67" w:rsidRDefault="004070E2">
      <w:pPr>
        <w:numPr>
          <w:ilvl w:val="0"/>
          <w:numId w:val="1"/>
        </w:numPr>
        <w:ind w:hanging="423"/>
      </w:pPr>
      <w:r>
        <w:t xml:space="preserve">Vznik podielového spoluvlastníctva a jeho obsah </w:t>
      </w:r>
    </w:p>
    <w:p w14:paraId="13255A8B" w14:textId="77777777" w:rsidR="00CF0A67" w:rsidRDefault="004070E2">
      <w:pPr>
        <w:numPr>
          <w:ilvl w:val="0"/>
          <w:numId w:val="1"/>
        </w:numPr>
        <w:ind w:hanging="423"/>
      </w:pPr>
      <w:r>
        <w:t xml:space="preserve">Spôsoby zániku podielového spoluvlastníctva a jeho vysporiadanie </w:t>
      </w:r>
    </w:p>
    <w:p w14:paraId="1B0F49C9" w14:textId="77777777" w:rsidR="00CF0A67" w:rsidRDefault="004070E2">
      <w:pPr>
        <w:numPr>
          <w:ilvl w:val="0"/>
          <w:numId w:val="1"/>
        </w:numPr>
        <w:ind w:hanging="423"/>
      </w:pPr>
      <w:r>
        <w:t xml:space="preserve">BSM — pojem a vznik </w:t>
      </w:r>
    </w:p>
    <w:p w14:paraId="348E5BD8" w14:textId="77777777" w:rsidR="00CF0A67" w:rsidRDefault="004070E2">
      <w:pPr>
        <w:numPr>
          <w:ilvl w:val="0"/>
          <w:numId w:val="1"/>
        </w:numPr>
        <w:ind w:hanging="423"/>
      </w:pPr>
      <w:r>
        <w:t xml:space="preserve">Obsah a predmet BSM </w:t>
      </w:r>
    </w:p>
    <w:p w14:paraId="54662D4F" w14:textId="77777777" w:rsidR="00CF0A67" w:rsidRDefault="004070E2">
      <w:pPr>
        <w:numPr>
          <w:ilvl w:val="0"/>
          <w:numId w:val="1"/>
        </w:numPr>
        <w:ind w:hanging="423"/>
      </w:pPr>
      <w:r>
        <w:t xml:space="preserve">Zánik BSM a </w:t>
      </w:r>
      <w:proofErr w:type="spellStart"/>
      <w:r>
        <w:t>vyporiadanie</w:t>
      </w:r>
      <w:proofErr w:type="spellEnd"/>
      <w:r>
        <w:t xml:space="preserve"> počas trvania manželstva </w:t>
      </w:r>
    </w:p>
    <w:p w14:paraId="6EE5003F" w14:textId="77777777" w:rsidR="00CF0A67" w:rsidRDefault="004070E2">
      <w:pPr>
        <w:numPr>
          <w:ilvl w:val="0"/>
          <w:numId w:val="1"/>
        </w:numPr>
        <w:ind w:hanging="423"/>
      </w:pPr>
      <w:r>
        <w:t xml:space="preserve">Zánik BSM a </w:t>
      </w:r>
      <w:proofErr w:type="spellStart"/>
      <w:r>
        <w:t>vyporiadanie</w:t>
      </w:r>
      <w:proofErr w:type="spellEnd"/>
      <w:r>
        <w:t xml:space="preserve"> po zániku manželstva </w:t>
      </w:r>
    </w:p>
    <w:p w14:paraId="624754D7" w14:textId="77777777" w:rsidR="00CF0A67" w:rsidRDefault="004070E2">
      <w:pPr>
        <w:numPr>
          <w:ilvl w:val="0"/>
          <w:numId w:val="1"/>
        </w:numPr>
        <w:spacing w:after="2810"/>
        <w:ind w:hanging="423"/>
      </w:pPr>
      <w:r>
        <w:t xml:space="preserve">Vecné právo k cudzím veciam — všeobecná charakteristika </w:t>
      </w:r>
    </w:p>
    <w:p w14:paraId="658EA1C8" w14:textId="77777777" w:rsidR="00CF0A67" w:rsidRDefault="004070E2">
      <w:pPr>
        <w:spacing w:line="259" w:lineRule="auto"/>
        <w:ind w:left="0" w:firstLine="0"/>
      </w:pPr>
      <w:r>
        <w:rPr>
          <w:rFonts w:ascii="Calibri" w:eastAsia="Calibri" w:hAnsi="Calibri" w:cs="Calibri"/>
          <w:sz w:val="20"/>
        </w:rPr>
        <w:lastRenderedPageBreak/>
        <w:t xml:space="preserve"> </w:t>
      </w:r>
    </w:p>
    <w:p w14:paraId="2BE16227" w14:textId="77777777" w:rsidR="00CF0A67" w:rsidRDefault="004070E2">
      <w:pPr>
        <w:spacing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007F4C9C" w14:textId="77777777" w:rsidR="00CF0A67" w:rsidRDefault="004070E2">
      <w:pPr>
        <w:spacing w:after="845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2EAAB95D" w14:textId="77777777" w:rsidR="00CF0A67" w:rsidRDefault="004070E2">
      <w:pPr>
        <w:numPr>
          <w:ilvl w:val="0"/>
          <w:numId w:val="1"/>
        </w:numPr>
        <w:spacing w:after="108"/>
        <w:ind w:hanging="423"/>
      </w:pPr>
      <w:r>
        <w:t xml:space="preserve">Pojem a funkcia záložného práva </w:t>
      </w:r>
    </w:p>
    <w:p w14:paraId="66960392" w14:textId="77777777" w:rsidR="00CF0A67" w:rsidRDefault="004070E2">
      <w:pPr>
        <w:numPr>
          <w:ilvl w:val="0"/>
          <w:numId w:val="1"/>
        </w:numPr>
        <w:ind w:hanging="423"/>
      </w:pPr>
      <w:r>
        <w:t xml:space="preserve">Zriadenie a vznik záložného práva </w:t>
      </w:r>
    </w:p>
    <w:p w14:paraId="2413D4C4" w14:textId="77777777" w:rsidR="00CF0A67" w:rsidRDefault="004070E2">
      <w:pPr>
        <w:numPr>
          <w:ilvl w:val="0"/>
          <w:numId w:val="1"/>
        </w:numPr>
        <w:ind w:hanging="423"/>
      </w:pPr>
      <w:r>
        <w:t xml:space="preserve">Obsahové náležitosti záložnej zmluvy </w:t>
      </w:r>
    </w:p>
    <w:p w14:paraId="27D62178" w14:textId="77777777" w:rsidR="00CF0A67" w:rsidRDefault="004070E2">
      <w:pPr>
        <w:numPr>
          <w:ilvl w:val="0"/>
          <w:numId w:val="1"/>
        </w:numPr>
        <w:spacing w:line="259" w:lineRule="auto"/>
        <w:ind w:hanging="423"/>
      </w:pPr>
      <w:r>
        <w:rPr>
          <w:sz w:val="23"/>
        </w:rPr>
        <w:t xml:space="preserve">Práva a povinnosti zo záložného práva </w:t>
      </w:r>
    </w:p>
    <w:p w14:paraId="5CCED042" w14:textId="77777777" w:rsidR="00CF0A67" w:rsidRDefault="004070E2">
      <w:pPr>
        <w:numPr>
          <w:ilvl w:val="0"/>
          <w:numId w:val="1"/>
        </w:numPr>
        <w:ind w:hanging="423"/>
      </w:pPr>
      <w:r>
        <w:t xml:space="preserve">Poradie záložných práv </w:t>
      </w:r>
    </w:p>
    <w:p w14:paraId="051861C0" w14:textId="77777777" w:rsidR="00CF0A67" w:rsidRDefault="004070E2">
      <w:pPr>
        <w:numPr>
          <w:ilvl w:val="0"/>
          <w:numId w:val="1"/>
        </w:numPr>
        <w:ind w:hanging="423"/>
      </w:pPr>
      <w:r>
        <w:t xml:space="preserve">Výkon záložného práva </w:t>
      </w:r>
    </w:p>
    <w:p w14:paraId="136ABA33" w14:textId="77777777" w:rsidR="00CF0A67" w:rsidRDefault="004070E2">
      <w:pPr>
        <w:numPr>
          <w:ilvl w:val="0"/>
          <w:numId w:val="1"/>
        </w:numPr>
        <w:ind w:hanging="423"/>
      </w:pPr>
      <w:r>
        <w:t xml:space="preserve">Dobrovoľná dražba </w:t>
      </w:r>
    </w:p>
    <w:p w14:paraId="0075F9E4" w14:textId="77777777" w:rsidR="00CF0A67" w:rsidRDefault="004070E2">
      <w:pPr>
        <w:numPr>
          <w:ilvl w:val="0"/>
          <w:numId w:val="1"/>
        </w:numPr>
        <w:ind w:hanging="423"/>
      </w:pPr>
      <w:r>
        <w:t xml:space="preserve">Zánik záložného práva </w:t>
      </w:r>
    </w:p>
    <w:p w14:paraId="49005E9E" w14:textId="77777777" w:rsidR="00CF0A67" w:rsidRDefault="004070E2">
      <w:pPr>
        <w:numPr>
          <w:ilvl w:val="0"/>
          <w:numId w:val="1"/>
        </w:numPr>
        <w:ind w:hanging="423"/>
      </w:pPr>
      <w:r>
        <w:t xml:space="preserve">Pojem a obsah vecných bremien </w:t>
      </w:r>
    </w:p>
    <w:p w14:paraId="2E3AB57B" w14:textId="77777777" w:rsidR="00CF0A67" w:rsidRDefault="004070E2">
      <w:pPr>
        <w:numPr>
          <w:ilvl w:val="0"/>
          <w:numId w:val="1"/>
        </w:numPr>
        <w:ind w:hanging="423"/>
      </w:pPr>
      <w:r>
        <w:t xml:space="preserve">Vznik a zánik vecného bremena </w:t>
      </w:r>
    </w:p>
    <w:p w14:paraId="1D510C13" w14:textId="77777777" w:rsidR="00CF0A67" w:rsidRDefault="004070E2">
      <w:pPr>
        <w:numPr>
          <w:ilvl w:val="0"/>
          <w:numId w:val="1"/>
        </w:numPr>
        <w:ind w:hanging="423"/>
      </w:pPr>
      <w:r>
        <w:t xml:space="preserve">Zádržné právo </w:t>
      </w:r>
    </w:p>
    <w:p w14:paraId="4948E6F4" w14:textId="77777777" w:rsidR="00CF0A67" w:rsidRDefault="004070E2">
      <w:pPr>
        <w:numPr>
          <w:ilvl w:val="0"/>
          <w:numId w:val="1"/>
        </w:numPr>
        <w:ind w:hanging="423"/>
      </w:pPr>
      <w:r>
        <w:t xml:space="preserve">Dedenie – všeobecná charakteristika </w:t>
      </w:r>
    </w:p>
    <w:p w14:paraId="0CD1055F" w14:textId="77777777" w:rsidR="00CF0A67" w:rsidRDefault="004070E2">
      <w:pPr>
        <w:numPr>
          <w:ilvl w:val="0"/>
          <w:numId w:val="1"/>
        </w:numPr>
        <w:ind w:hanging="423"/>
      </w:pPr>
      <w:r>
        <w:t xml:space="preserve">Predpoklady dedenia – všeobecne </w:t>
      </w:r>
    </w:p>
    <w:p w14:paraId="49C7C21C" w14:textId="77777777" w:rsidR="00CF0A67" w:rsidRDefault="004070E2">
      <w:pPr>
        <w:numPr>
          <w:ilvl w:val="0"/>
          <w:numId w:val="1"/>
        </w:numPr>
        <w:ind w:hanging="423"/>
      </w:pPr>
      <w:r>
        <w:t xml:space="preserve">Dedičské skupiny </w:t>
      </w:r>
    </w:p>
    <w:p w14:paraId="0F6E99A5" w14:textId="77777777" w:rsidR="00CF0A67" w:rsidRDefault="004070E2">
      <w:pPr>
        <w:numPr>
          <w:ilvl w:val="0"/>
          <w:numId w:val="1"/>
        </w:numPr>
        <w:ind w:hanging="423"/>
      </w:pPr>
      <w:r>
        <w:t xml:space="preserve">Dedenie zo závetu </w:t>
      </w:r>
    </w:p>
    <w:p w14:paraId="210910E1" w14:textId="77777777" w:rsidR="00CF0A67" w:rsidRDefault="004070E2">
      <w:pPr>
        <w:numPr>
          <w:ilvl w:val="0"/>
          <w:numId w:val="1"/>
        </w:numPr>
        <w:ind w:hanging="423"/>
      </w:pPr>
      <w:r>
        <w:t xml:space="preserve">Vydedenie </w:t>
      </w:r>
    </w:p>
    <w:p w14:paraId="7B1AA066" w14:textId="1D25A2F9" w:rsidR="00450824" w:rsidRDefault="004070E2" w:rsidP="00450824">
      <w:pPr>
        <w:numPr>
          <w:ilvl w:val="0"/>
          <w:numId w:val="1"/>
        </w:numPr>
        <w:spacing w:after="10239"/>
        <w:ind w:hanging="423"/>
        <w:jc w:val="both"/>
      </w:pPr>
      <w:r>
        <w:t>Ochrana oprávneného dediča</w:t>
      </w:r>
      <w:r w:rsidR="00421A8C">
        <w:br/>
      </w:r>
      <w:r w:rsidR="00421A8C">
        <w:br/>
      </w:r>
      <w:r w:rsidR="00421A8C">
        <w:br/>
      </w:r>
      <w:r w:rsidR="00421A8C">
        <w:br/>
      </w:r>
      <w:r w:rsidR="0052580E">
        <w:t>Poz</w:t>
      </w:r>
      <w:r w:rsidR="00421A8C">
        <w:t>n</w:t>
      </w:r>
      <w:r w:rsidR="0052580E">
        <w:t xml:space="preserve">. </w:t>
      </w:r>
      <w:r w:rsidR="0052580E" w:rsidRPr="00421A8C">
        <w:rPr>
          <w:bCs/>
          <w:snapToGrid w:val="0"/>
          <w:lang w:eastAsia="cs-CZ"/>
        </w:rPr>
        <w:t xml:space="preserve">Pri jednotlivých otázkach je na postupovej skúške potrebné po obsahovej stránke </w:t>
      </w:r>
      <w:r w:rsidR="003E3388">
        <w:rPr>
          <w:bCs/>
          <w:snapToGrid w:val="0"/>
          <w:lang w:eastAsia="cs-CZ"/>
        </w:rPr>
        <w:t xml:space="preserve">popri platnej právnej úprave komparatívne zohľadňovať </w:t>
      </w:r>
      <w:r w:rsidR="003E3388" w:rsidRPr="00484493">
        <w:rPr>
          <w:bCs/>
          <w:snapToGrid w:val="0"/>
          <w:lang w:eastAsia="cs-CZ"/>
        </w:rPr>
        <w:t xml:space="preserve">aj matériu a terminológiu Vládneho návrhu zákona Občiansky zákonník. </w:t>
      </w:r>
      <w:hyperlink r:id="rId6" w:tgtFrame="_blank" w:tooltip="https://www.slov-lex.sk/elegislativa/legislativne-procesy/SK/LP/2025/486" w:history="1">
        <w:r w:rsidR="003E3388" w:rsidRPr="00484493">
          <w:rPr>
            <w:rStyle w:val="Hypertextovprepojenie"/>
            <w:bCs/>
            <w:snapToGrid w:val="0"/>
            <w:lang w:eastAsia="cs-CZ"/>
          </w:rPr>
          <w:t>Legislatívny proces - LP/2025/486</w:t>
        </w:r>
      </w:hyperlink>
      <w:r w:rsidR="003E3388" w:rsidRPr="00484493">
        <w:rPr>
          <w:bCs/>
          <w:snapToGrid w:val="0"/>
          <w:lang w:eastAsia="cs-CZ"/>
        </w:rPr>
        <w:t xml:space="preserve">. </w:t>
      </w:r>
      <w:r w:rsidR="003475A7" w:rsidRPr="00484493">
        <w:rPr>
          <w:bCs/>
          <w:snapToGrid w:val="0"/>
          <w:lang w:eastAsia="cs-CZ"/>
        </w:rPr>
        <w:t>V prípade prijatia návrhu zákona v inom znení je potrebné vychádzať zo znenia</w:t>
      </w:r>
      <w:r w:rsidR="003475A7">
        <w:rPr>
          <w:bCs/>
          <w:snapToGrid w:val="0"/>
          <w:lang w:eastAsia="cs-CZ"/>
        </w:rPr>
        <w:t>, ktoré bude predmetom výkladu na prednáškach</w:t>
      </w:r>
      <w:r w:rsidR="0055512A">
        <w:rPr>
          <w:bCs/>
          <w:snapToGrid w:val="0"/>
          <w:lang w:eastAsia="cs-CZ"/>
        </w:rPr>
        <w:t xml:space="preserve"> počas zimného semestra AR 2026/2027. </w:t>
      </w:r>
      <w:r w:rsidR="003475A7">
        <w:rPr>
          <w:bCs/>
          <w:snapToGrid w:val="0"/>
          <w:lang w:eastAsia="cs-CZ"/>
        </w:rPr>
        <w:t xml:space="preserve"> </w:t>
      </w:r>
    </w:p>
    <w:sectPr w:rsidR="00450824">
      <w:pgSz w:w="11900" w:h="16840"/>
      <w:pgMar w:top="0" w:right="2320" w:bottom="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E47F8"/>
    <w:multiLevelType w:val="hybridMultilevel"/>
    <w:tmpl w:val="50D67FC4"/>
    <w:lvl w:ilvl="0" w:tplc="0EFC1F22">
      <w:start w:val="1"/>
      <w:numFmt w:val="decimal"/>
      <w:lvlText w:val="%1."/>
      <w:lvlJc w:val="left"/>
      <w:pPr>
        <w:ind w:left="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62979C">
      <w:start w:val="1"/>
      <w:numFmt w:val="lowerLetter"/>
      <w:lvlText w:val="%2"/>
      <w:lvlJc w:val="left"/>
      <w:pPr>
        <w:ind w:left="1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7AC35C">
      <w:start w:val="1"/>
      <w:numFmt w:val="lowerRoman"/>
      <w:lvlText w:val="%3"/>
      <w:lvlJc w:val="left"/>
      <w:pPr>
        <w:ind w:left="2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186FDC">
      <w:start w:val="1"/>
      <w:numFmt w:val="decimal"/>
      <w:lvlText w:val="%4"/>
      <w:lvlJc w:val="left"/>
      <w:pPr>
        <w:ind w:left="3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D45A9A">
      <w:start w:val="1"/>
      <w:numFmt w:val="lowerLetter"/>
      <w:lvlText w:val="%5"/>
      <w:lvlJc w:val="left"/>
      <w:pPr>
        <w:ind w:left="3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E05316">
      <w:start w:val="1"/>
      <w:numFmt w:val="lowerRoman"/>
      <w:lvlText w:val="%6"/>
      <w:lvlJc w:val="left"/>
      <w:pPr>
        <w:ind w:left="4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885916">
      <w:start w:val="1"/>
      <w:numFmt w:val="decimal"/>
      <w:lvlText w:val="%7"/>
      <w:lvlJc w:val="left"/>
      <w:pPr>
        <w:ind w:left="5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4DBC2">
      <w:start w:val="1"/>
      <w:numFmt w:val="lowerLetter"/>
      <w:lvlText w:val="%8"/>
      <w:lvlJc w:val="left"/>
      <w:pPr>
        <w:ind w:left="5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68C136">
      <w:start w:val="1"/>
      <w:numFmt w:val="lowerRoman"/>
      <w:lvlText w:val="%9"/>
      <w:lvlJc w:val="left"/>
      <w:pPr>
        <w:ind w:left="6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530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A67"/>
    <w:rsid w:val="003475A7"/>
    <w:rsid w:val="003E3388"/>
    <w:rsid w:val="004070E2"/>
    <w:rsid w:val="00421A8C"/>
    <w:rsid w:val="004275CB"/>
    <w:rsid w:val="00450824"/>
    <w:rsid w:val="0052580E"/>
    <w:rsid w:val="0055512A"/>
    <w:rsid w:val="009D4EDD"/>
    <w:rsid w:val="00A14027"/>
    <w:rsid w:val="00B12F3D"/>
    <w:rsid w:val="00CF0A67"/>
    <w:rsid w:val="00FE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F8802"/>
  <w15:docId w15:val="{46502F5D-A84C-4E61-B4A5-8D9E9566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65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5258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ov-lex.sk/elegislativa/legislativne-procesy/SK/LP/2025/486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skusobne otazky-OPH_II_ZS_2025_2026</vt:lpstr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skusobne otazky-OPH_II_ZS_2025_2026</dc:title>
  <dc:subject/>
  <dc:creator>Helena Vaľková</dc:creator>
  <cp:keywords/>
  <cp:lastModifiedBy>JUDr. Miroslava Kušníriková PhD.</cp:lastModifiedBy>
  <cp:revision>10</cp:revision>
  <dcterms:created xsi:type="dcterms:W3CDTF">2026-09-16T11:49:00Z</dcterms:created>
  <dcterms:modified xsi:type="dcterms:W3CDTF">2026-09-18T09:00:00Z</dcterms:modified>
</cp:coreProperties>
</file>