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3107DD" w:rsidP="00500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 K PREDMETU</w:t>
      </w:r>
    </w:p>
    <w:p w:rsidR="001B24EA" w:rsidRPr="003107DD" w:rsidRDefault="003107DD" w:rsidP="00500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DD">
        <w:rPr>
          <w:rFonts w:ascii="Times New Roman" w:hAnsi="Times New Roman" w:cs="Times New Roman"/>
          <w:b/>
          <w:sz w:val="24"/>
          <w:szCs w:val="24"/>
        </w:rPr>
        <w:t>JUSTINIÁNSKE DIGESTA A ICH VPLYV NA VÝVOJ MODERNÉHO PRÁVA</w:t>
      </w:r>
    </w:p>
    <w:p w:rsidR="001B24EA" w:rsidRPr="001B24EA" w:rsidRDefault="001B24EA" w:rsidP="00500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500517">
        <w:rPr>
          <w:rFonts w:ascii="Times New Roman" w:hAnsi="Times New Roman" w:cs="Times New Roman"/>
          <w:b/>
          <w:sz w:val="24"/>
          <w:szCs w:val="24"/>
        </w:rPr>
        <w:t>den</w:t>
      </w:r>
      <w:r w:rsidR="00A77CB0">
        <w:rPr>
          <w:rFonts w:ascii="Times New Roman" w:hAnsi="Times New Roman" w:cs="Times New Roman"/>
          <w:b/>
          <w:sz w:val="24"/>
          <w:szCs w:val="24"/>
        </w:rPr>
        <w:t>ná</w:t>
      </w:r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500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500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D7D2C">
        <w:rPr>
          <w:rFonts w:ascii="Times New Roman" w:hAnsi="Times New Roman" w:cs="Times New Roman"/>
          <w:sz w:val="24"/>
          <w:szCs w:val="24"/>
        </w:rPr>
        <w:t>Justiniánske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Digesta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. Úvod do právnej problematiky. Právny a historický pohľad.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Vnútorná štruktúra a právny systém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Digest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. Rozdelenie práva na súkromné a verejné. Spisy o civilnom práve. Spisy o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prétorskom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práve.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Vymedzenie jurisdikcie rímskych magistrátov – konzulov,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prétorov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, kvestorov, miestodržiteľov v provinciách. Jurisdikcia – jej právno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D7D2C">
        <w:rPr>
          <w:rFonts w:ascii="Times New Roman" w:hAnsi="Times New Roman" w:cs="Times New Roman"/>
          <w:sz w:val="24"/>
          <w:szCs w:val="24"/>
        </w:rPr>
        <w:t>politické vymedzenie, právne postavenie  občanov, rímskych úradov v dejinách právnej vedy.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Úprava právneho inštitútu zasnúbenia v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Digestach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. Podstata a predpoklady zasnúbenia, jeho platnosť a súhlas hlavy rodiny.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Inštitút manželstva a jeho vybrané účinky podľa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Digest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. Právne problémy foriem uzavretia manželstva. Rozvod. Vyživovacia povinnosť.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>Manželská vernosť a jej nedodržanie. Juliánov zákon o potrestaní cudzoložstva. Právne postihy kupliarstva a znásilnenia.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>Recepcia rímskeho práva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Konsenzuálne kontrakty –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kúpopredaj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: Predmet kúpnej zmluvy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Konsenzuálne kontrakty –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kúpopredaj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: Určenie ceny pri kúpnej zmluve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>Civilné delikty. Vývoj obligačnej povinnosti nahradiť škodu z deliktu v rímskom práve (svojpomoc, odveta, pokuta, náhrada škody)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D2C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Aquilia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– podstatný prelom na ceste k náhrade škody (štruktúra – obsah)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Základné predpoklady zodpovednosti podľa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Aquilia</w:t>
      </w:r>
      <w:proofErr w:type="spellEnd"/>
    </w:p>
    <w:p w:rsidR="001B24EA" w:rsidRPr="001B24EA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Náhrada škody. Skutočná škoda. Liečebné náklady.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Ušlý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zisk. Ujma, ktorá nebola predmetom odškodnenia.</w:t>
      </w:r>
    </w:p>
    <w:sectPr w:rsidR="001B24EA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35CEF"/>
    <w:multiLevelType w:val="hybridMultilevel"/>
    <w:tmpl w:val="A7726D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65E1E"/>
    <w:multiLevelType w:val="hybridMultilevel"/>
    <w:tmpl w:val="1150A3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267FE"/>
    <w:multiLevelType w:val="hybridMultilevel"/>
    <w:tmpl w:val="DE84F3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E3A25"/>
    <w:multiLevelType w:val="hybridMultilevel"/>
    <w:tmpl w:val="FD565782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30CB7"/>
    <w:rsid w:val="001B24EA"/>
    <w:rsid w:val="003107DD"/>
    <w:rsid w:val="003D7D2C"/>
    <w:rsid w:val="00500517"/>
    <w:rsid w:val="00A77CB0"/>
    <w:rsid w:val="00AB75ED"/>
    <w:rsid w:val="00CD59E3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2016-09-13T11:08:00Z</dcterms:created>
  <dcterms:modified xsi:type="dcterms:W3CDTF">2016-09-13T11:08:00Z</dcterms:modified>
</cp:coreProperties>
</file>