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1B24EA" w:rsidP="001B2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 xml:space="preserve">INFORMAČNÝ LIST  K PREDMETU </w:t>
      </w:r>
    </w:p>
    <w:p w:rsidR="001B24EA" w:rsidRDefault="00FB5B0D" w:rsidP="001B2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RÍMSKE PRÁVO </w:t>
      </w:r>
      <w:r w:rsidR="00AD1C84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I.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4EA" w:rsidRPr="001B24EA" w:rsidRDefault="001B24EA" w:rsidP="001B2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(denná forma štúdia)</w:t>
      </w:r>
    </w:p>
    <w:p w:rsid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1D0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Podmienky na absolvovanie predmetu</w:t>
      </w:r>
    </w:p>
    <w:p w:rsidR="00AD1C84" w:rsidRPr="00AD1C84" w:rsidRDefault="00AD1C84" w:rsidP="00AD1C84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dve</w:t>
      </w:r>
      <w:r w:rsidRPr="00AD1C84">
        <w:rPr>
          <w:rFonts w:ascii="Times New Roman" w:hAnsi="Times New Roman" w:cs="Times New Roman"/>
          <w:sz w:val="24"/>
          <w:szCs w:val="24"/>
        </w:rPr>
        <w:t xml:space="preserve"> písomky (5 otázok).  Na prihlásenie na skúšku je potrebné z každej písomky dosiahnuť nadpolovičný počet bodov. 1 náhradná písomka. </w:t>
      </w:r>
    </w:p>
    <w:p w:rsidR="00AD1C84" w:rsidRPr="00AD1C84" w:rsidRDefault="00AD1C84" w:rsidP="00AD1C84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aktívna účasť na seminároch - možné sú 3 ospravedlnené absencie - ak bude neúčasť na seminároch vyššia ako účasť bude študentovi udelené hodnotenie FX</w:t>
      </w:r>
    </w:p>
    <w:p w:rsidR="00FB5B0D" w:rsidRDefault="00FB5B0D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Skúška</w:t>
      </w:r>
    </w:p>
    <w:p w:rsidR="001B24EA" w:rsidRPr="001B24EA" w:rsidRDefault="00AD1C84" w:rsidP="001B24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Ústna skúška  (3</w:t>
      </w:r>
      <w:r w:rsidR="001B24EA" w:rsidRPr="001B24EA">
        <w:rPr>
          <w:rFonts w:ascii="Times New Roman" w:hAnsi="Times New Roman" w:cs="Times New Roman"/>
          <w:sz w:val="24"/>
          <w:szCs w:val="24"/>
        </w:rPr>
        <w:t xml:space="preserve"> otázky)</w:t>
      </w:r>
    </w:p>
    <w:p w:rsidR="001B24EA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Výsledky vzdelávania</w:t>
      </w:r>
    </w:p>
    <w:p w:rsidR="00AD1C84" w:rsidRPr="00AD1C84" w:rsidRDefault="00AD1C84" w:rsidP="00AD1C84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Poskytnúť študentom spolu s  Teóriou štátu a práva základné vedomosti o rímskych právnych inštitútoch a pojmoch, ako východisko pre štúdium pozitívno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D1C84">
        <w:rPr>
          <w:rFonts w:ascii="Times New Roman" w:hAnsi="Times New Roman" w:cs="Times New Roman"/>
          <w:sz w:val="24"/>
          <w:szCs w:val="24"/>
        </w:rPr>
        <w:t xml:space="preserve">právnych disciplín, predovšetkým občianskeho práva. </w:t>
      </w:r>
    </w:p>
    <w:p w:rsidR="00AD1C84" w:rsidRPr="00AD1C84" w:rsidRDefault="00AD1C84" w:rsidP="00AD1C84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Naučiť študentov rímsko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D1C84">
        <w:rPr>
          <w:rFonts w:ascii="Times New Roman" w:hAnsi="Times New Roman" w:cs="Times New Roman"/>
          <w:sz w:val="24"/>
          <w:szCs w:val="24"/>
        </w:rPr>
        <w:t xml:space="preserve">právnu terminológiu, ktorá tvorí základ súčasnej medzinárodnej právnej terminológie </w:t>
      </w:r>
    </w:p>
    <w:p w:rsidR="00AD1C84" w:rsidRDefault="00AD1C84" w:rsidP="00AD1C84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 xml:space="preserve">Formovať logické myslenie mladých právnikov.     </w:t>
      </w: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Odporúčaná  literatúra</w:t>
      </w: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 xml:space="preserve">Základná študijná literatúra: </w:t>
      </w:r>
    </w:p>
    <w:p w:rsidR="001B24EA" w:rsidRPr="00AB75ED" w:rsidRDefault="001B24EA" w:rsidP="00AB75ED">
      <w:pPr>
        <w:pStyle w:val="Odsekzoznamu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BLAHO, P. – REBRO, K.: Rímske právo, Bratislava, 2010</w:t>
      </w:r>
    </w:p>
    <w:p w:rsidR="001B24EA" w:rsidRPr="00AB75ED" w:rsidRDefault="001B24EA" w:rsidP="00AB75ED">
      <w:pPr>
        <w:pStyle w:val="Odsekzoznamu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BLAHO, P. – HAUSMANINGER, H.: Praktické štúdie z rímskeho práva, Bratislava, 1993</w:t>
      </w:r>
    </w:p>
    <w:p w:rsidR="001B24EA" w:rsidRPr="00AB75ED" w:rsidRDefault="001B24EA" w:rsidP="00AB75ED">
      <w:pPr>
        <w:pStyle w:val="Odsekzoznamu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BLAHO, P., HARAMIA, I., ŽIDLICKÁ, M.: Základy rímskeho práva, MANZ, Bratislava, 1997</w:t>
      </w: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>Doporučená študijná literatúra:</w:t>
      </w:r>
    </w:p>
    <w:p w:rsidR="001B24EA" w:rsidRPr="00AB75ED" w:rsidRDefault="001B24EA" w:rsidP="00AB75ED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 xml:space="preserve">KINCL, K. – URFUS :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Římské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 právo, Praha, 1994   </w:t>
      </w: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4EA" w:rsidRPr="00AB75ED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75ED">
        <w:rPr>
          <w:rFonts w:ascii="Times New Roman" w:hAnsi="Times New Roman" w:cs="Times New Roman"/>
          <w:b/>
          <w:sz w:val="24"/>
          <w:szCs w:val="24"/>
        </w:rPr>
        <w:t>Stručná osnova predmetu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Držba – vznik, druhy, ochrana, rozdiel od vlastníckeho práva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Systém vecných práv. Vlastnícke právo – pojem, obsah, rozsah, druhy.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Spôsoby nadobudnutia vlastníckeho práva.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Ochrana vlastníckeho práva – vlastnícke žaloby.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Obligačné právo. Pojem, civilný a naturálny záväzok. Dôvody vzniku záväzku.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Zmluvy podľa spôsobu ich vzniku. Reálne kontrakty – rozdiely medzi nimi.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 xml:space="preserve">Konsenzuálne kontrakty. </w:t>
      </w:r>
      <w:proofErr w:type="spellStart"/>
      <w:r w:rsidRPr="00AD1C84">
        <w:rPr>
          <w:rFonts w:ascii="Times New Roman" w:hAnsi="Times New Roman" w:cs="Times New Roman"/>
          <w:sz w:val="24"/>
          <w:szCs w:val="24"/>
        </w:rPr>
        <w:t>Kúpopredaj</w:t>
      </w:r>
      <w:proofErr w:type="spellEnd"/>
      <w:r w:rsidRPr="00AD1C84">
        <w:rPr>
          <w:rFonts w:ascii="Times New Roman" w:hAnsi="Times New Roman" w:cs="Times New Roman"/>
          <w:sz w:val="24"/>
          <w:szCs w:val="24"/>
        </w:rPr>
        <w:t>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Konsenzuálne kontrakty – dokončenie. Záväzky z deliktov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 xml:space="preserve">Záväzky z deliktov - dokončenie. </w:t>
      </w:r>
      <w:proofErr w:type="spellStart"/>
      <w:r w:rsidRPr="00AD1C84">
        <w:rPr>
          <w:rFonts w:ascii="Times New Roman" w:hAnsi="Times New Roman" w:cs="Times New Roman"/>
          <w:sz w:val="24"/>
          <w:szCs w:val="24"/>
        </w:rPr>
        <w:t>Kvázidelikty</w:t>
      </w:r>
      <w:proofErr w:type="spellEnd"/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D1C84">
        <w:rPr>
          <w:rFonts w:ascii="Times New Roman" w:hAnsi="Times New Roman" w:cs="Times New Roman"/>
          <w:sz w:val="24"/>
          <w:szCs w:val="24"/>
        </w:rPr>
        <w:t>Kvázikontrakty</w:t>
      </w:r>
      <w:proofErr w:type="spellEnd"/>
      <w:r w:rsidRPr="00AD1C84">
        <w:rPr>
          <w:rFonts w:ascii="Times New Roman" w:hAnsi="Times New Roman" w:cs="Times New Roman"/>
          <w:sz w:val="24"/>
          <w:szCs w:val="24"/>
        </w:rPr>
        <w:t>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lastRenderedPageBreak/>
        <w:t xml:space="preserve">Nepomenované zmluvy. Dedičské právo - zásady, </w:t>
      </w:r>
      <w:proofErr w:type="spellStart"/>
      <w:r w:rsidRPr="00AD1C84">
        <w:rPr>
          <w:rFonts w:ascii="Times New Roman" w:hAnsi="Times New Roman" w:cs="Times New Roman"/>
          <w:sz w:val="24"/>
          <w:szCs w:val="24"/>
        </w:rPr>
        <w:t>delačné</w:t>
      </w:r>
      <w:proofErr w:type="spellEnd"/>
      <w:r w:rsidRPr="00AD1C84">
        <w:rPr>
          <w:rFonts w:ascii="Times New Roman" w:hAnsi="Times New Roman" w:cs="Times New Roman"/>
          <w:sz w:val="24"/>
          <w:szCs w:val="24"/>
        </w:rPr>
        <w:t xml:space="preserve"> dôvody.</w:t>
      </w:r>
    </w:p>
    <w:p w:rsidR="001B24EA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 xml:space="preserve">Dedenie proti závetu. Singulárna sukcesia.  </w:t>
      </w:r>
    </w:p>
    <w:sectPr w:rsidR="001B24EA" w:rsidRPr="00AD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43B02336"/>
    <w:lvl w:ilvl="0" w:tplc="4E14B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B1580"/>
    <w:multiLevelType w:val="hybridMultilevel"/>
    <w:tmpl w:val="297252DC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30B2F"/>
    <w:multiLevelType w:val="hybridMultilevel"/>
    <w:tmpl w:val="715E8228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C5696"/>
    <w:multiLevelType w:val="hybridMultilevel"/>
    <w:tmpl w:val="743ECC14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B24EA"/>
    <w:rsid w:val="002B6028"/>
    <w:rsid w:val="00886CD8"/>
    <w:rsid w:val="00AB75ED"/>
    <w:rsid w:val="00AD1C84"/>
    <w:rsid w:val="00CD59E3"/>
    <w:rsid w:val="00DB41D0"/>
    <w:rsid w:val="00F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2016-09-14T06:24:00Z</dcterms:created>
  <dcterms:modified xsi:type="dcterms:W3CDTF">2016-09-14T06:24:00Z</dcterms:modified>
</cp:coreProperties>
</file>