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6D" w:rsidRPr="00C56EB7" w:rsidRDefault="00A87B6D" w:rsidP="00A87B6D">
      <w:pPr>
        <w:spacing w:after="0" w:line="240" w:lineRule="auto"/>
        <w:ind w:left="284" w:hanging="284"/>
        <w:jc w:val="center"/>
        <w:rPr>
          <w:b/>
        </w:rPr>
      </w:pPr>
    </w:p>
    <w:p w:rsidR="00A87B6D" w:rsidRPr="00C56EB7" w:rsidRDefault="00A87B6D" w:rsidP="00A87B6D">
      <w:pPr>
        <w:spacing w:after="0" w:line="240" w:lineRule="auto"/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Akcionárska d</w:t>
      </w:r>
      <w:r w:rsidRPr="00C56EB7">
        <w:rPr>
          <w:b/>
          <w:sz w:val="28"/>
          <w:szCs w:val="28"/>
        </w:rPr>
        <w:t>ohoda</w:t>
      </w:r>
    </w:p>
    <w:p w:rsidR="00A87B6D" w:rsidRPr="00C56EB7" w:rsidRDefault="00A87B6D" w:rsidP="00A87B6D">
      <w:pPr>
        <w:spacing w:after="0" w:line="240" w:lineRule="auto"/>
        <w:ind w:left="284" w:hanging="284"/>
        <w:jc w:val="center"/>
      </w:pPr>
      <w:r w:rsidRPr="00C56EB7">
        <w:t xml:space="preserve">uzavretá podľa príslušných ustanovení zákona č. </w:t>
      </w:r>
      <w:r>
        <w:t>513/1991 Zb. Obchodný zákonník</w:t>
      </w:r>
      <w:bookmarkStart w:id="0" w:name="_GoBack"/>
      <w:bookmarkEnd w:id="0"/>
    </w:p>
    <w:p w:rsidR="00A87B6D" w:rsidRPr="00C56EB7" w:rsidRDefault="00A87B6D" w:rsidP="00A87B6D">
      <w:pPr>
        <w:tabs>
          <w:tab w:val="left" w:pos="1348"/>
        </w:tabs>
        <w:spacing w:after="0" w:line="240" w:lineRule="auto"/>
        <w:jc w:val="both"/>
        <w:rPr>
          <w:b/>
        </w:rPr>
      </w:pPr>
    </w:p>
    <w:p w:rsidR="00A87B6D" w:rsidRPr="00C56EB7" w:rsidRDefault="00A87B6D" w:rsidP="00A87B6D">
      <w:pPr>
        <w:spacing w:after="0" w:line="240" w:lineRule="auto"/>
        <w:ind w:left="284" w:hanging="284"/>
        <w:jc w:val="both"/>
        <w:rPr>
          <w:b/>
        </w:rPr>
      </w:pPr>
    </w:p>
    <w:p w:rsidR="00A87B6D" w:rsidRDefault="00527D5E" w:rsidP="00A87B6D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Strany zmluvy</w:t>
      </w:r>
    </w:p>
    <w:p w:rsidR="00A87B6D" w:rsidRDefault="00A87B6D" w:rsidP="00A87B6D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</w:rPr>
      </w:pPr>
      <w:r w:rsidRPr="00C56EB7">
        <w:rPr>
          <w:b/>
        </w:rPr>
        <w:t>Predmet Dohody</w:t>
      </w:r>
    </w:p>
    <w:p w:rsidR="00A87B6D" w:rsidRPr="00C56EB7" w:rsidRDefault="00A87B6D" w:rsidP="00A87B6D">
      <w:pPr>
        <w:pStyle w:val="Odsekzoznamu"/>
        <w:numPr>
          <w:ilvl w:val="1"/>
          <w:numId w:val="2"/>
        </w:numPr>
        <w:spacing w:after="0" w:line="240" w:lineRule="auto"/>
        <w:jc w:val="both"/>
        <w:rPr>
          <w:b/>
        </w:rPr>
      </w:pPr>
      <w:r w:rsidRPr="00C56EB7">
        <w:t xml:space="preserve">Predmetom tejto Dohody je úprava spôsobu výkonu práv a povinností strán ako každého z akcionárov Spoločnosti po dobu účinnosti tejto Dohody. </w:t>
      </w:r>
      <w:bookmarkStart w:id="1" w:name="_Ref190228338"/>
    </w:p>
    <w:p w:rsidR="00A87B6D" w:rsidRDefault="00A87B6D" w:rsidP="00A87B6D">
      <w:pPr>
        <w:pStyle w:val="Odsekzoznamu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C56EB7">
        <w:rPr>
          <w:b/>
        </w:rPr>
        <w:t>Účel Dohody</w:t>
      </w:r>
    </w:p>
    <w:p w:rsidR="00A87B6D" w:rsidRPr="00C56EB7" w:rsidRDefault="00A87B6D" w:rsidP="00A87B6D">
      <w:pPr>
        <w:pStyle w:val="Odsekzoznamu"/>
        <w:numPr>
          <w:ilvl w:val="1"/>
          <w:numId w:val="2"/>
        </w:numPr>
        <w:spacing w:after="0" w:line="240" w:lineRule="auto"/>
        <w:jc w:val="both"/>
        <w:rPr>
          <w:b/>
        </w:rPr>
      </w:pPr>
      <w:r w:rsidRPr="00C56EB7">
        <w:t>Cieľom strán je prostredníctvom tejto Dohody napomôcť k tomu,</w:t>
      </w:r>
      <w:r>
        <w:t xml:space="preserve"> aby S</w:t>
      </w:r>
      <w:r w:rsidRPr="00C56EB7">
        <w:t xml:space="preserve">poločnosť mohla v maximálnej </w:t>
      </w:r>
      <w:r>
        <w:t>možn</w:t>
      </w:r>
      <w:r w:rsidRPr="00C56EB7">
        <w:t>e</w:t>
      </w:r>
      <w:r>
        <w:t>j miere dosahovať svoje</w:t>
      </w:r>
      <w:r w:rsidRPr="00C56EB7">
        <w:t xml:space="preserve"> podnikat</w:t>
      </w:r>
      <w:r>
        <w:t>eľské ciele</w:t>
      </w:r>
      <w:r w:rsidRPr="00C56EB7">
        <w:t xml:space="preserve">, a to </w:t>
      </w:r>
      <w:r>
        <w:t>realizáciu</w:t>
      </w:r>
      <w:r w:rsidRPr="00C56EB7">
        <w:t xml:space="preserve"> a </w:t>
      </w:r>
      <w:r>
        <w:t>predaj</w:t>
      </w:r>
      <w:r w:rsidRPr="00C56EB7">
        <w:t xml:space="preserve"> </w:t>
      </w:r>
      <w:proofErr w:type="spellStart"/>
      <w:r>
        <w:t>RoboTTa</w:t>
      </w:r>
      <w:proofErr w:type="spellEnd"/>
      <w:r w:rsidRPr="00C56EB7">
        <w:t>, kt</w:t>
      </w:r>
      <w:r>
        <w:t>orého popis tvorí P</w:t>
      </w:r>
      <w:r w:rsidRPr="00C56EB7">
        <w:t>rílohu</w:t>
      </w:r>
      <w:r>
        <w:t xml:space="preserve"> 1</w:t>
      </w:r>
      <w:r w:rsidRPr="00C56EB7">
        <w:t xml:space="preserve"> tejto Dohody.  </w:t>
      </w:r>
      <w:bookmarkEnd w:id="1"/>
    </w:p>
    <w:p w:rsidR="00A87B6D" w:rsidRPr="00C56EB7" w:rsidRDefault="00A87B6D" w:rsidP="00A87B6D">
      <w:pPr>
        <w:spacing w:after="0" w:line="240" w:lineRule="auto"/>
        <w:ind w:left="284" w:hanging="284"/>
        <w:jc w:val="both"/>
      </w:pPr>
    </w:p>
    <w:p w:rsidR="00A87B6D" w:rsidRPr="00C56EB7" w:rsidRDefault="00A87B6D" w:rsidP="00A87B6D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</w:rPr>
      </w:pPr>
      <w:r w:rsidRPr="00C56EB7">
        <w:rPr>
          <w:b/>
        </w:rPr>
        <w:t>Akcionárska štruktúra pred uskutočnením transakcie</w:t>
      </w:r>
    </w:p>
    <w:p w:rsidR="00A87B6D" w:rsidRPr="00C56EB7" w:rsidRDefault="00A87B6D" w:rsidP="00A87B6D">
      <w:pPr>
        <w:pStyle w:val="Odsekzoznamu"/>
        <w:spacing w:after="0" w:line="240" w:lineRule="auto"/>
        <w:ind w:left="284" w:hanging="284"/>
        <w:jc w:val="both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01"/>
        <w:gridCol w:w="1760"/>
      </w:tblGrid>
      <w:tr w:rsidR="00A87B6D" w:rsidRPr="00C56EB7" w:rsidTr="001B3D62">
        <w:tc>
          <w:tcPr>
            <w:tcW w:w="1901" w:type="dxa"/>
          </w:tcPr>
          <w:p w:rsidR="00A87B6D" w:rsidRPr="00C56EB7" w:rsidRDefault="00A87B6D" w:rsidP="001B3D62">
            <w:pPr>
              <w:ind w:left="284" w:hanging="284"/>
              <w:jc w:val="both"/>
            </w:pPr>
            <w:r w:rsidRPr="00C56EB7">
              <w:t xml:space="preserve">Akcionár: </w:t>
            </w:r>
          </w:p>
        </w:tc>
        <w:tc>
          <w:tcPr>
            <w:tcW w:w="1760" w:type="dxa"/>
          </w:tcPr>
          <w:p w:rsidR="00A87B6D" w:rsidRPr="00C56EB7" w:rsidRDefault="00A87B6D" w:rsidP="001B3D62">
            <w:pPr>
              <w:ind w:left="284" w:hanging="315"/>
              <w:jc w:val="both"/>
            </w:pPr>
            <w:r w:rsidRPr="00C56EB7">
              <w:t>P</w:t>
            </w:r>
            <w:r>
              <w:t xml:space="preserve">očet </w:t>
            </w:r>
            <w:r w:rsidRPr="00C56EB7">
              <w:t>kmeňových akcií</w:t>
            </w:r>
          </w:p>
        </w:tc>
      </w:tr>
      <w:tr w:rsidR="00A87B6D" w:rsidRPr="00C56EB7" w:rsidTr="001B3D62">
        <w:tc>
          <w:tcPr>
            <w:tcW w:w="1901" w:type="dxa"/>
          </w:tcPr>
          <w:p w:rsidR="00A87B6D" w:rsidRPr="00C56EB7" w:rsidRDefault="00A87B6D" w:rsidP="001B3D62">
            <w:pPr>
              <w:ind w:left="284" w:hanging="284"/>
              <w:jc w:val="both"/>
            </w:pPr>
            <w:r w:rsidRPr="00C56EB7">
              <w:t>Ján Kováč</w:t>
            </w:r>
          </w:p>
        </w:tc>
        <w:tc>
          <w:tcPr>
            <w:tcW w:w="1760" w:type="dxa"/>
          </w:tcPr>
          <w:p w:rsidR="00A87B6D" w:rsidRPr="00C56EB7" w:rsidRDefault="00A87B6D" w:rsidP="001B3D62">
            <w:pPr>
              <w:ind w:left="284" w:hanging="284"/>
              <w:jc w:val="both"/>
            </w:pPr>
            <w:r w:rsidRPr="00C56EB7">
              <w:t>1000 ks</w:t>
            </w:r>
          </w:p>
        </w:tc>
      </w:tr>
      <w:tr w:rsidR="00A87B6D" w:rsidRPr="00C56EB7" w:rsidTr="001B3D62">
        <w:tc>
          <w:tcPr>
            <w:tcW w:w="1901" w:type="dxa"/>
          </w:tcPr>
          <w:p w:rsidR="00A87B6D" w:rsidRPr="00C56EB7" w:rsidRDefault="00A87B6D" w:rsidP="001B3D62">
            <w:pPr>
              <w:ind w:left="284" w:hanging="284"/>
              <w:jc w:val="both"/>
            </w:pPr>
            <w:r w:rsidRPr="00C56EB7">
              <w:t>Peter Malý</w:t>
            </w:r>
          </w:p>
        </w:tc>
        <w:tc>
          <w:tcPr>
            <w:tcW w:w="1760" w:type="dxa"/>
          </w:tcPr>
          <w:p w:rsidR="00A87B6D" w:rsidRPr="00C56EB7" w:rsidRDefault="00A87B6D" w:rsidP="001B3D62">
            <w:pPr>
              <w:ind w:left="284" w:hanging="284"/>
              <w:jc w:val="both"/>
            </w:pPr>
            <w:r w:rsidRPr="00C56EB7">
              <w:t>1000 ks</w:t>
            </w:r>
          </w:p>
        </w:tc>
      </w:tr>
    </w:tbl>
    <w:p w:rsidR="00A87B6D" w:rsidRPr="00C56EB7" w:rsidRDefault="00A87B6D" w:rsidP="00A87B6D">
      <w:pPr>
        <w:spacing w:after="0" w:line="240" w:lineRule="auto"/>
        <w:ind w:left="284" w:hanging="284"/>
        <w:jc w:val="both"/>
        <w:rPr>
          <w:b/>
        </w:rPr>
      </w:pPr>
    </w:p>
    <w:p w:rsidR="00A87B6D" w:rsidRPr="00C56EB7" w:rsidRDefault="00A87B6D" w:rsidP="00A87B6D">
      <w:pPr>
        <w:spacing w:after="0" w:line="240" w:lineRule="auto"/>
        <w:ind w:left="284" w:hanging="284"/>
        <w:jc w:val="both"/>
        <w:rPr>
          <w:b/>
        </w:rPr>
      </w:pPr>
    </w:p>
    <w:p w:rsidR="00A87B6D" w:rsidRPr="00C56EB7" w:rsidRDefault="00A87B6D" w:rsidP="00A87B6D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</w:rPr>
      </w:pPr>
      <w:r w:rsidRPr="00C56EB7">
        <w:rPr>
          <w:b/>
        </w:rPr>
        <w:t>Akcionárska štruktúra po uskutočnení transakcie (pred opciou)</w:t>
      </w:r>
    </w:p>
    <w:p w:rsidR="00A87B6D" w:rsidRPr="00C56EB7" w:rsidRDefault="00A87B6D" w:rsidP="00A87B6D">
      <w:pPr>
        <w:spacing w:after="0" w:line="240" w:lineRule="auto"/>
        <w:ind w:left="284" w:hanging="284"/>
        <w:jc w:val="both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01"/>
        <w:gridCol w:w="1760"/>
        <w:gridCol w:w="1929"/>
        <w:gridCol w:w="1596"/>
        <w:gridCol w:w="1596"/>
      </w:tblGrid>
      <w:tr w:rsidR="00A87B6D" w:rsidRPr="00C56EB7" w:rsidTr="001B3D62">
        <w:tc>
          <w:tcPr>
            <w:tcW w:w="1901" w:type="dxa"/>
          </w:tcPr>
          <w:p w:rsidR="00A87B6D" w:rsidRPr="00C56EB7" w:rsidRDefault="00A87B6D" w:rsidP="001B3D62">
            <w:pPr>
              <w:ind w:left="284" w:hanging="284"/>
            </w:pPr>
            <w:r w:rsidRPr="00C56EB7">
              <w:t xml:space="preserve">Akcionár: </w:t>
            </w:r>
          </w:p>
        </w:tc>
        <w:tc>
          <w:tcPr>
            <w:tcW w:w="1760" w:type="dxa"/>
          </w:tcPr>
          <w:p w:rsidR="00A87B6D" w:rsidRPr="00C56EB7" w:rsidRDefault="00A87B6D" w:rsidP="001B3D62">
            <w:r w:rsidRPr="00C56EB7">
              <w:t>Počet akcií</w:t>
            </w:r>
            <w:r>
              <w:t xml:space="preserve"> „A“</w:t>
            </w:r>
          </w:p>
        </w:tc>
        <w:tc>
          <w:tcPr>
            <w:tcW w:w="1929" w:type="dxa"/>
          </w:tcPr>
          <w:p w:rsidR="00A87B6D" w:rsidRPr="00C56EB7" w:rsidRDefault="00A87B6D" w:rsidP="001B3D62">
            <w:r w:rsidRPr="00C56EB7">
              <w:t>Počet akcií</w:t>
            </w:r>
            <w:r>
              <w:t xml:space="preserve"> „B“</w:t>
            </w:r>
          </w:p>
        </w:tc>
        <w:tc>
          <w:tcPr>
            <w:tcW w:w="1596" w:type="dxa"/>
          </w:tcPr>
          <w:p w:rsidR="00A87B6D" w:rsidRPr="00C56EB7" w:rsidRDefault="00A87B6D" w:rsidP="001B3D62">
            <w:pPr>
              <w:ind w:left="284" w:hanging="284"/>
            </w:pPr>
            <w:r w:rsidRPr="00C56EB7">
              <w:t xml:space="preserve">% </w:t>
            </w:r>
            <w:r>
              <w:t>akcií „B“</w:t>
            </w:r>
          </w:p>
        </w:tc>
        <w:tc>
          <w:tcPr>
            <w:tcW w:w="1596" w:type="dxa"/>
          </w:tcPr>
          <w:p w:rsidR="00A87B6D" w:rsidRPr="00C56EB7" w:rsidRDefault="00A87B6D" w:rsidP="001B3D62">
            <w:pPr>
              <w:ind w:left="284" w:hanging="284"/>
            </w:pPr>
            <w:r w:rsidRPr="00C56EB7">
              <w:t>% všetkých akcií</w:t>
            </w:r>
          </w:p>
        </w:tc>
      </w:tr>
      <w:tr w:rsidR="00A87B6D" w:rsidRPr="00C56EB7" w:rsidTr="001B3D62">
        <w:tc>
          <w:tcPr>
            <w:tcW w:w="1901" w:type="dxa"/>
          </w:tcPr>
          <w:p w:rsidR="00A87B6D" w:rsidRPr="00C56EB7" w:rsidRDefault="00A87B6D" w:rsidP="001B3D62">
            <w:pPr>
              <w:ind w:left="284" w:hanging="284"/>
              <w:jc w:val="both"/>
            </w:pPr>
            <w:r w:rsidRPr="00C56EB7">
              <w:t>Ján Kováč</w:t>
            </w:r>
          </w:p>
        </w:tc>
        <w:tc>
          <w:tcPr>
            <w:tcW w:w="1760" w:type="dxa"/>
          </w:tcPr>
          <w:p w:rsidR="00A87B6D" w:rsidRPr="00C56EB7" w:rsidRDefault="00A87B6D" w:rsidP="001B3D62">
            <w:pPr>
              <w:ind w:left="284" w:hanging="284"/>
              <w:jc w:val="right"/>
            </w:pPr>
            <w:r w:rsidRPr="00C56EB7">
              <w:t>1000 ks</w:t>
            </w:r>
          </w:p>
        </w:tc>
        <w:tc>
          <w:tcPr>
            <w:tcW w:w="1929" w:type="dxa"/>
          </w:tcPr>
          <w:p w:rsidR="00A87B6D" w:rsidRPr="00C56EB7" w:rsidRDefault="00A87B6D" w:rsidP="001B3D62">
            <w:pPr>
              <w:ind w:left="284" w:hanging="284"/>
              <w:jc w:val="right"/>
            </w:pPr>
            <w:r w:rsidRPr="00C56EB7">
              <w:t>2500</w:t>
            </w:r>
          </w:p>
        </w:tc>
        <w:tc>
          <w:tcPr>
            <w:tcW w:w="1596" w:type="dxa"/>
          </w:tcPr>
          <w:p w:rsidR="00A87B6D" w:rsidRPr="00C56EB7" w:rsidRDefault="00A87B6D" w:rsidP="001B3D62">
            <w:pPr>
              <w:ind w:left="284" w:hanging="284"/>
              <w:jc w:val="right"/>
            </w:pPr>
            <w:r w:rsidRPr="00C56EB7">
              <w:t>25%</w:t>
            </w:r>
          </w:p>
        </w:tc>
        <w:tc>
          <w:tcPr>
            <w:tcW w:w="1596" w:type="dxa"/>
          </w:tcPr>
          <w:p w:rsidR="00A87B6D" w:rsidRPr="00C56EB7" w:rsidRDefault="00A87B6D" w:rsidP="001B3D62">
            <w:pPr>
              <w:ind w:left="284" w:hanging="284"/>
              <w:jc w:val="right"/>
            </w:pPr>
            <w:r w:rsidRPr="00C56EB7">
              <w:t>29,17%</w:t>
            </w:r>
          </w:p>
        </w:tc>
      </w:tr>
      <w:tr w:rsidR="00A87B6D" w:rsidRPr="00C56EB7" w:rsidTr="001B3D62">
        <w:tc>
          <w:tcPr>
            <w:tcW w:w="1901" w:type="dxa"/>
          </w:tcPr>
          <w:p w:rsidR="00A87B6D" w:rsidRPr="00C56EB7" w:rsidRDefault="00A87B6D" w:rsidP="001B3D62">
            <w:pPr>
              <w:ind w:left="284" w:hanging="284"/>
              <w:jc w:val="both"/>
            </w:pPr>
            <w:r w:rsidRPr="00C56EB7">
              <w:t>Peter Malý</w:t>
            </w:r>
          </w:p>
        </w:tc>
        <w:tc>
          <w:tcPr>
            <w:tcW w:w="1760" w:type="dxa"/>
          </w:tcPr>
          <w:p w:rsidR="00A87B6D" w:rsidRPr="00C56EB7" w:rsidRDefault="00A87B6D" w:rsidP="001B3D62">
            <w:pPr>
              <w:ind w:left="284" w:hanging="284"/>
              <w:jc w:val="right"/>
            </w:pPr>
            <w:r w:rsidRPr="00C56EB7">
              <w:t>1000 ks</w:t>
            </w:r>
          </w:p>
        </w:tc>
        <w:tc>
          <w:tcPr>
            <w:tcW w:w="1929" w:type="dxa"/>
          </w:tcPr>
          <w:p w:rsidR="00A87B6D" w:rsidRPr="00C56EB7" w:rsidRDefault="00A87B6D" w:rsidP="001B3D62">
            <w:pPr>
              <w:ind w:left="284" w:hanging="284"/>
              <w:jc w:val="right"/>
            </w:pPr>
            <w:r w:rsidRPr="00C56EB7">
              <w:t>1500</w:t>
            </w:r>
          </w:p>
        </w:tc>
        <w:tc>
          <w:tcPr>
            <w:tcW w:w="1596" w:type="dxa"/>
          </w:tcPr>
          <w:p w:rsidR="00A87B6D" w:rsidRPr="00C56EB7" w:rsidRDefault="00A87B6D" w:rsidP="001B3D62">
            <w:pPr>
              <w:ind w:left="284" w:hanging="284"/>
              <w:jc w:val="right"/>
            </w:pPr>
            <w:r w:rsidRPr="00C56EB7">
              <w:t>15%</w:t>
            </w:r>
          </w:p>
        </w:tc>
        <w:tc>
          <w:tcPr>
            <w:tcW w:w="1596" w:type="dxa"/>
          </w:tcPr>
          <w:p w:rsidR="00A87B6D" w:rsidRPr="00C56EB7" w:rsidRDefault="00A87B6D" w:rsidP="001B3D62">
            <w:pPr>
              <w:ind w:left="284" w:hanging="284"/>
              <w:jc w:val="right"/>
            </w:pPr>
            <w:r w:rsidRPr="00C56EB7">
              <w:t>20,83%</w:t>
            </w:r>
          </w:p>
        </w:tc>
      </w:tr>
      <w:tr w:rsidR="00A87B6D" w:rsidRPr="00C56EB7" w:rsidTr="001B3D62">
        <w:tc>
          <w:tcPr>
            <w:tcW w:w="1901" w:type="dxa"/>
          </w:tcPr>
          <w:p w:rsidR="00A87B6D" w:rsidRPr="00C56EB7" w:rsidRDefault="00A87B6D" w:rsidP="001B3D62">
            <w:pPr>
              <w:ind w:left="284" w:hanging="284"/>
              <w:jc w:val="both"/>
            </w:pPr>
            <w:r w:rsidRPr="00C56EB7">
              <w:t>Bonaparte</w:t>
            </w:r>
          </w:p>
        </w:tc>
        <w:tc>
          <w:tcPr>
            <w:tcW w:w="1760" w:type="dxa"/>
          </w:tcPr>
          <w:p w:rsidR="00A87B6D" w:rsidRPr="00C56EB7" w:rsidRDefault="00A87B6D" w:rsidP="001B3D62">
            <w:pPr>
              <w:ind w:left="284" w:hanging="284"/>
              <w:jc w:val="right"/>
            </w:pPr>
          </w:p>
        </w:tc>
        <w:tc>
          <w:tcPr>
            <w:tcW w:w="1929" w:type="dxa"/>
          </w:tcPr>
          <w:p w:rsidR="00A87B6D" w:rsidRPr="00C56EB7" w:rsidRDefault="00A87B6D" w:rsidP="001B3D62">
            <w:pPr>
              <w:ind w:left="284" w:hanging="284"/>
              <w:jc w:val="right"/>
            </w:pPr>
            <w:r w:rsidRPr="00C56EB7">
              <w:t>5100</w:t>
            </w:r>
          </w:p>
        </w:tc>
        <w:tc>
          <w:tcPr>
            <w:tcW w:w="1596" w:type="dxa"/>
          </w:tcPr>
          <w:p w:rsidR="00A87B6D" w:rsidRPr="00C56EB7" w:rsidRDefault="00A87B6D" w:rsidP="001B3D62">
            <w:pPr>
              <w:ind w:left="284" w:hanging="284"/>
              <w:jc w:val="right"/>
            </w:pPr>
            <w:r w:rsidRPr="00C56EB7">
              <w:t>51%</w:t>
            </w:r>
          </w:p>
        </w:tc>
        <w:tc>
          <w:tcPr>
            <w:tcW w:w="1596" w:type="dxa"/>
          </w:tcPr>
          <w:p w:rsidR="00A87B6D" w:rsidRPr="00C56EB7" w:rsidRDefault="00A87B6D" w:rsidP="001B3D62">
            <w:pPr>
              <w:ind w:left="284" w:hanging="284"/>
              <w:jc w:val="right"/>
            </w:pPr>
            <w:r w:rsidRPr="00C56EB7">
              <w:t>42,5 %</w:t>
            </w:r>
          </w:p>
        </w:tc>
      </w:tr>
      <w:tr w:rsidR="00A87B6D" w:rsidRPr="00C56EB7" w:rsidTr="001B3D62">
        <w:tc>
          <w:tcPr>
            <w:tcW w:w="1901" w:type="dxa"/>
          </w:tcPr>
          <w:p w:rsidR="00A87B6D" w:rsidRPr="00C56EB7" w:rsidRDefault="00A87B6D" w:rsidP="001B3D62">
            <w:pPr>
              <w:ind w:left="284" w:hanging="284"/>
              <w:jc w:val="both"/>
            </w:pPr>
            <w:r w:rsidRPr="00C56EB7">
              <w:t>Cézar</w:t>
            </w:r>
          </w:p>
        </w:tc>
        <w:tc>
          <w:tcPr>
            <w:tcW w:w="1760" w:type="dxa"/>
          </w:tcPr>
          <w:p w:rsidR="00A87B6D" w:rsidRPr="00C56EB7" w:rsidRDefault="00A87B6D" w:rsidP="001B3D62">
            <w:pPr>
              <w:ind w:left="284" w:hanging="284"/>
              <w:jc w:val="right"/>
            </w:pPr>
          </w:p>
        </w:tc>
        <w:tc>
          <w:tcPr>
            <w:tcW w:w="1929" w:type="dxa"/>
          </w:tcPr>
          <w:p w:rsidR="00A87B6D" w:rsidRPr="00C56EB7" w:rsidRDefault="00A87B6D" w:rsidP="001B3D62">
            <w:pPr>
              <w:ind w:left="284" w:hanging="284"/>
              <w:jc w:val="right"/>
            </w:pPr>
            <w:r w:rsidRPr="00C56EB7">
              <w:t>900</w:t>
            </w:r>
          </w:p>
        </w:tc>
        <w:tc>
          <w:tcPr>
            <w:tcW w:w="1596" w:type="dxa"/>
          </w:tcPr>
          <w:p w:rsidR="00A87B6D" w:rsidRPr="00C56EB7" w:rsidRDefault="00A87B6D" w:rsidP="001B3D62">
            <w:pPr>
              <w:ind w:left="284" w:hanging="284"/>
              <w:jc w:val="right"/>
            </w:pPr>
            <w:r w:rsidRPr="00C56EB7">
              <w:t>9%</w:t>
            </w:r>
          </w:p>
        </w:tc>
        <w:tc>
          <w:tcPr>
            <w:tcW w:w="1596" w:type="dxa"/>
          </w:tcPr>
          <w:p w:rsidR="00A87B6D" w:rsidRPr="00C56EB7" w:rsidRDefault="00A87B6D" w:rsidP="001B3D62">
            <w:pPr>
              <w:ind w:left="284" w:hanging="284"/>
              <w:jc w:val="right"/>
            </w:pPr>
            <w:r w:rsidRPr="00C56EB7">
              <w:t>7,5%</w:t>
            </w:r>
          </w:p>
        </w:tc>
      </w:tr>
      <w:tr w:rsidR="00A87B6D" w:rsidRPr="00C56EB7" w:rsidTr="001B3D62">
        <w:trPr>
          <w:trHeight w:val="318"/>
        </w:trPr>
        <w:tc>
          <w:tcPr>
            <w:tcW w:w="1901" w:type="dxa"/>
          </w:tcPr>
          <w:p w:rsidR="00A87B6D" w:rsidRPr="00C56EB7" w:rsidRDefault="00A87B6D" w:rsidP="001B3D62">
            <w:pPr>
              <w:ind w:left="284" w:hanging="284"/>
              <w:jc w:val="both"/>
            </w:pPr>
            <w:r w:rsidRPr="00C56EB7">
              <w:t>Spolu</w:t>
            </w:r>
          </w:p>
        </w:tc>
        <w:tc>
          <w:tcPr>
            <w:tcW w:w="1760" w:type="dxa"/>
          </w:tcPr>
          <w:p w:rsidR="00A87B6D" w:rsidRPr="00C56EB7" w:rsidRDefault="00A87B6D" w:rsidP="001B3D62">
            <w:pPr>
              <w:ind w:left="284" w:hanging="284"/>
              <w:jc w:val="right"/>
            </w:pPr>
            <w:r w:rsidRPr="00C56EB7">
              <w:t>2000</w:t>
            </w:r>
          </w:p>
        </w:tc>
        <w:tc>
          <w:tcPr>
            <w:tcW w:w="1929" w:type="dxa"/>
          </w:tcPr>
          <w:p w:rsidR="00A87B6D" w:rsidRPr="00C56EB7" w:rsidRDefault="00A87B6D" w:rsidP="001B3D62">
            <w:pPr>
              <w:ind w:left="284" w:hanging="284"/>
              <w:jc w:val="right"/>
            </w:pPr>
            <w:r w:rsidRPr="00C56EB7">
              <w:t>10000</w:t>
            </w:r>
          </w:p>
        </w:tc>
        <w:tc>
          <w:tcPr>
            <w:tcW w:w="1596" w:type="dxa"/>
          </w:tcPr>
          <w:p w:rsidR="00A87B6D" w:rsidRPr="00C56EB7" w:rsidRDefault="00A87B6D" w:rsidP="001B3D62">
            <w:pPr>
              <w:ind w:left="284" w:hanging="284"/>
              <w:jc w:val="right"/>
            </w:pPr>
            <w:r w:rsidRPr="00C56EB7">
              <w:t>100%</w:t>
            </w:r>
          </w:p>
        </w:tc>
        <w:tc>
          <w:tcPr>
            <w:tcW w:w="1596" w:type="dxa"/>
          </w:tcPr>
          <w:p w:rsidR="00A87B6D" w:rsidRPr="00C56EB7" w:rsidRDefault="00A87B6D" w:rsidP="001B3D62">
            <w:pPr>
              <w:ind w:left="284" w:hanging="284"/>
              <w:jc w:val="right"/>
            </w:pPr>
            <w:r w:rsidRPr="00C56EB7">
              <w:t>100%</w:t>
            </w:r>
          </w:p>
        </w:tc>
      </w:tr>
    </w:tbl>
    <w:p w:rsidR="00A87B6D" w:rsidRPr="00C56EB7" w:rsidRDefault="00A87B6D" w:rsidP="00A87B6D">
      <w:pPr>
        <w:spacing w:after="0" w:line="240" w:lineRule="auto"/>
        <w:ind w:left="284" w:hanging="284"/>
        <w:jc w:val="both"/>
        <w:rPr>
          <w:b/>
        </w:rPr>
      </w:pPr>
    </w:p>
    <w:p w:rsidR="00A87B6D" w:rsidRPr="00C56EB7" w:rsidRDefault="00A87B6D" w:rsidP="00A87B6D">
      <w:pPr>
        <w:spacing w:after="0" w:line="240" w:lineRule="auto"/>
        <w:ind w:left="284" w:hanging="284"/>
        <w:jc w:val="both"/>
        <w:rPr>
          <w:b/>
        </w:rPr>
      </w:pPr>
    </w:p>
    <w:p w:rsidR="00A87B6D" w:rsidRPr="00C56EB7" w:rsidRDefault="00A87B6D" w:rsidP="00A87B6D">
      <w:pPr>
        <w:pStyle w:val="Odsekzoznamu"/>
        <w:spacing w:after="0" w:line="240" w:lineRule="auto"/>
        <w:ind w:left="284" w:hanging="284"/>
        <w:jc w:val="both"/>
        <w:rPr>
          <w:b/>
        </w:rPr>
      </w:pPr>
    </w:p>
    <w:p w:rsidR="00A87B6D" w:rsidRPr="00C56EB7" w:rsidRDefault="00A87B6D" w:rsidP="00A87B6D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Dividendová</w:t>
      </w:r>
      <w:r w:rsidRPr="00C56EB7">
        <w:rPr>
          <w:b/>
        </w:rPr>
        <w:t xml:space="preserve"> politika</w:t>
      </w:r>
      <w:bookmarkStart w:id="2" w:name="_Ref177810940"/>
    </w:p>
    <w:p w:rsidR="00A87B6D" w:rsidRPr="00E67FF7" w:rsidRDefault="00A87B6D" w:rsidP="00A87B6D">
      <w:pPr>
        <w:pStyle w:val="Odsekzoznamu"/>
        <w:numPr>
          <w:ilvl w:val="1"/>
          <w:numId w:val="2"/>
        </w:numPr>
        <w:spacing w:after="0" w:line="240" w:lineRule="auto"/>
        <w:jc w:val="both"/>
        <w:rPr>
          <w:b/>
        </w:rPr>
      </w:pPr>
      <w:r w:rsidRPr="00C56EB7">
        <w:t>Strany sa zaväzujú, že budú na Valných zhromaždeniach Spoločnosti, ktoré budú mať na programe okrem iného aj rozhodovanie o využití zisku Spoločnosti, hlasovať spôsobom, ktorý bol dohodnutý a schválený na Stretnutí Strán za podmienok stanovených touto Dohodou.</w:t>
      </w:r>
      <w:bookmarkEnd w:id="2"/>
      <w:r w:rsidRPr="00C56EB7">
        <w:t xml:space="preserve"> V prípade, že pre dané obdobie nebude existovať dohoda v zmysle tohto ustanovenia, budú Strany hlasovať spôsobom, ktorý umožní výplatu podielu na zisku akcionárom vo výške minimálne 50% zisku bežného obdobia. </w:t>
      </w:r>
    </w:p>
    <w:p w:rsidR="00A87B6D" w:rsidRPr="00C56EB7" w:rsidRDefault="00A87B6D" w:rsidP="00A87B6D">
      <w:pPr>
        <w:spacing w:after="0" w:line="240" w:lineRule="auto"/>
        <w:ind w:left="284" w:hanging="284"/>
        <w:jc w:val="both"/>
        <w:rPr>
          <w:b/>
        </w:rPr>
      </w:pPr>
    </w:p>
    <w:p w:rsidR="00A87B6D" w:rsidRDefault="00A87B6D" w:rsidP="00A87B6D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Zákaz prevodu akcií a Vzájomné predkupné práva</w:t>
      </w:r>
    </w:p>
    <w:p w:rsidR="00A87B6D" w:rsidRPr="00C56EB7" w:rsidRDefault="00A87B6D" w:rsidP="00A87B6D">
      <w:pPr>
        <w:pStyle w:val="Odsekzoznamu"/>
        <w:numPr>
          <w:ilvl w:val="1"/>
          <w:numId w:val="2"/>
        </w:numPr>
        <w:spacing w:after="0" w:line="240" w:lineRule="auto"/>
        <w:jc w:val="both"/>
      </w:pPr>
      <w:r w:rsidRPr="00C56EB7">
        <w:t xml:space="preserve">Prevoditeľnosť akcií Spoločnosti na tretie osoby je vylúčená na dobu 4 rokov od účinnosti tejto Dohody. </w:t>
      </w:r>
    </w:p>
    <w:p w:rsidR="00A87B6D" w:rsidRDefault="00A87B6D" w:rsidP="00A87B6D">
      <w:pPr>
        <w:pStyle w:val="Odsekzoznamu"/>
        <w:numPr>
          <w:ilvl w:val="1"/>
          <w:numId w:val="2"/>
        </w:numPr>
        <w:spacing w:after="0" w:line="240" w:lineRule="auto"/>
        <w:ind w:left="851" w:hanging="425"/>
        <w:jc w:val="both"/>
      </w:pPr>
      <w:r w:rsidRPr="00C56EB7">
        <w:t xml:space="preserve">V prípade, že ktorákoľvek strana má v úmysle predať svoje akcie Spoločnosti alebo ich časť tretej osobe, </w:t>
      </w:r>
      <w:r>
        <w:t xml:space="preserve">po uplynutí lehoty uvedenej v bode 7.1. tejto Dohody </w:t>
      </w:r>
      <w:r w:rsidRPr="00C56EB7">
        <w:t xml:space="preserve">je túto skutočnosť povinná bez zbytočného odkladu oznámiť druhej Strane s tým, že v tomto oznámení uvedie aspoň: </w:t>
      </w:r>
    </w:p>
    <w:p w:rsidR="00A87B6D" w:rsidRDefault="00A87B6D" w:rsidP="00A87B6D">
      <w:pPr>
        <w:pStyle w:val="Odsekzoznamu"/>
        <w:spacing w:after="0" w:line="240" w:lineRule="auto"/>
        <w:ind w:left="851" w:firstLine="283"/>
        <w:jc w:val="both"/>
      </w:pPr>
      <w:r>
        <w:t xml:space="preserve">a) počet akcií, ktoré zamýšľa predať, </w:t>
      </w:r>
    </w:p>
    <w:p w:rsidR="00A87B6D" w:rsidRDefault="00A87B6D" w:rsidP="00A87B6D">
      <w:pPr>
        <w:pStyle w:val="Odsekzoznamu"/>
        <w:spacing w:after="0" w:line="240" w:lineRule="auto"/>
        <w:ind w:left="851" w:firstLine="283"/>
        <w:jc w:val="both"/>
      </w:pPr>
      <w:r>
        <w:t xml:space="preserve">b) presnú identifikáciu navrhovaného kupujúceho. </w:t>
      </w:r>
    </w:p>
    <w:p w:rsidR="00A87B6D" w:rsidRDefault="00A87B6D" w:rsidP="00A87B6D">
      <w:pPr>
        <w:pStyle w:val="Odsekzoznamu"/>
        <w:numPr>
          <w:ilvl w:val="1"/>
          <w:numId w:val="2"/>
        </w:numPr>
        <w:spacing w:after="0" w:line="240" w:lineRule="auto"/>
        <w:ind w:left="851" w:hanging="425"/>
        <w:jc w:val="both"/>
      </w:pPr>
      <w:r>
        <w:lastRenderedPageBreak/>
        <w:t>A</w:t>
      </w:r>
      <w:r w:rsidRPr="00C56EB7">
        <w:t xml:space="preserve">konáhle dôjde k doručeniu oznámenia o zamýšľanom predaji druhej Strane a tá prejaví záujem o kúpu ponúkaných akcií, a to najneskôr v lehote 15 dní odo dňa doručenia oznámenia, je oprávnená kúpiť ponúkané akcie za rovnakých podmienok, aké boli ponúknuté treťou osobou na ich kúpu. </w:t>
      </w:r>
    </w:p>
    <w:p w:rsidR="00A87B6D" w:rsidRPr="00C56EB7" w:rsidRDefault="00A87B6D" w:rsidP="00A87B6D">
      <w:pPr>
        <w:spacing w:after="0" w:line="240" w:lineRule="auto"/>
        <w:jc w:val="both"/>
        <w:rPr>
          <w:b/>
        </w:rPr>
      </w:pPr>
    </w:p>
    <w:p w:rsidR="00A87B6D" w:rsidRPr="00C56EB7" w:rsidRDefault="00A87B6D" w:rsidP="00A87B6D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</w:rPr>
      </w:pPr>
      <w:r w:rsidRPr="00C56EB7">
        <w:rPr>
          <w:b/>
        </w:rPr>
        <w:t xml:space="preserve">Správa a riadenie spoločnosti </w:t>
      </w:r>
      <w:bookmarkStart w:id="3" w:name="_Ref108926417"/>
      <w:bookmarkStart w:id="4" w:name="_Ref113700434"/>
    </w:p>
    <w:p w:rsidR="00A87B6D" w:rsidRDefault="00A87B6D" w:rsidP="00A87B6D">
      <w:pPr>
        <w:pStyle w:val="Odsekzoznamu"/>
        <w:numPr>
          <w:ilvl w:val="1"/>
          <w:numId w:val="2"/>
        </w:numPr>
        <w:spacing w:after="0" w:line="240" w:lineRule="auto"/>
        <w:ind w:left="851" w:hanging="567"/>
        <w:jc w:val="both"/>
      </w:pPr>
      <w:r w:rsidRPr="00C56EB7">
        <w:t>Strany sa zaväzujú vykonávať svoje hlasovacie práva k akciám spoločnosti tak, aby:</w:t>
      </w:r>
    </w:p>
    <w:p w:rsidR="00A87B6D" w:rsidRDefault="00A87B6D" w:rsidP="00A87B6D">
      <w:pPr>
        <w:pStyle w:val="Odsekzoznamu"/>
        <w:numPr>
          <w:ilvl w:val="2"/>
          <w:numId w:val="2"/>
        </w:numPr>
        <w:spacing w:after="0" w:line="240" w:lineRule="auto"/>
        <w:ind w:left="1134" w:hanging="283"/>
        <w:jc w:val="both"/>
      </w:pPr>
      <w:r w:rsidRPr="00C56EB7">
        <w:t xml:space="preserve">predstavenstvo Spoločnosti bolo zložené zo štyroch členov, z toho dvaja členovia predstavenstva </w:t>
      </w:r>
      <w:r>
        <w:t>Spoločnosti boli zvolení</w:t>
      </w:r>
      <w:r w:rsidRPr="00C56EB7">
        <w:t xml:space="preserve"> z osôb navrhnutých akcionárom Bonaparte alebo Cézarom, ibaže takejto voľbe bránia prekážky a obmedzenia vyplývajúce</w:t>
      </w:r>
      <w:r>
        <w:t xml:space="preserve"> </w:t>
      </w:r>
      <w:r w:rsidRPr="00C56EB7">
        <w:t xml:space="preserve">z platných právnych predpisov, pokiaľ výkonu funkcie bránia prekážky a obmedzenia vyplývajúce z platných právnych predpisov je akcionár Bonaparte alebo Cézar </w:t>
      </w:r>
      <w:r>
        <w:t xml:space="preserve">povinný </w:t>
      </w:r>
      <w:r w:rsidRPr="00C56EB7">
        <w:t xml:space="preserve">navrhnúť a predložiť Spoločnosti k voľbe nového člena predstavenstva, ktorý naplňuje </w:t>
      </w:r>
      <w:r>
        <w:t>p</w:t>
      </w:r>
      <w:r w:rsidRPr="00C56EB7">
        <w:t xml:space="preserve">re výkon funkcie všetky zákonom požadované požiadavky.  </w:t>
      </w:r>
    </w:p>
    <w:p w:rsidR="00A87B6D" w:rsidRPr="00C56EB7" w:rsidRDefault="00A87B6D" w:rsidP="00A87B6D">
      <w:pPr>
        <w:pStyle w:val="Odsekzoznamu"/>
        <w:numPr>
          <w:ilvl w:val="2"/>
          <w:numId w:val="2"/>
        </w:numPr>
        <w:spacing w:after="0" w:line="240" w:lineRule="auto"/>
        <w:ind w:left="1134" w:hanging="283"/>
        <w:jc w:val="both"/>
      </w:pPr>
      <w:r>
        <w:t xml:space="preserve">jeden </w:t>
      </w:r>
      <w:r w:rsidRPr="00C56EB7">
        <w:t>člen</w:t>
      </w:r>
      <w:r>
        <w:t xml:space="preserve"> predstavenstva Spoločnosti bol</w:t>
      </w:r>
      <w:r w:rsidRPr="00C56EB7">
        <w:t xml:space="preserve"> zvolený z osôb navrhnutých akcionárom Jánom Kováčom, a jeden člen predstavenstva Spoločnosti </w:t>
      </w:r>
      <w:r>
        <w:t>bol</w:t>
      </w:r>
      <w:r w:rsidRPr="00C56EB7">
        <w:t xml:space="preserve"> zvolený z osôb navrhnutých akcionárom Petrom Malým, ibaže takejto voľbe bránia prekážky a obmedzenia vyplývajúce z platných právnych predpisov</w:t>
      </w:r>
      <w:bookmarkEnd w:id="3"/>
      <w:bookmarkEnd w:id="4"/>
    </w:p>
    <w:p w:rsidR="00A87B6D" w:rsidRPr="000B581A" w:rsidRDefault="00A87B6D" w:rsidP="00A87B6D">
      <w:pPr>
        <w:pStyle w:val="Odsekzoznamu"/>
        <w:numPr>
          <w:ilvl w:val="1"/>
          <w:numId w:val="2"/>
        </w:numPr>
        <w:spacing w:after="0" w:line="240" w:lineRule="auto"/>
        <w:ind w:left="851" w:hanging="567"/>
        <w:jc w:val="both"/>
        <w:rPr>
          <w:b/>
        </w:rPr>
      </w:pPr>
      <w:r w:rsidRPr="00C56EB7">
        <w:rPr>
          <w:rFonts w:eastAsia="Times New Roman" w:cs="Times New Roman"/>
        </w:rPr>
        <w:t xml:space="preserve">V prípade, že člen predstavenstva Spoločnosti bude svoju funkciu vykonávať spôsobom, ktorý bude v rozpore s touto Dohodou, záveru Strán prijatých na Stretnutí strán, alebo nebude rešpektovať odporúčania či návrhy, ktoré mu boli predložené niektorou zo Strán v súlade s touto Dohodou, je ktorákoľvek zo strán oprávnená požadovať odvolanie takého člena z predstavenstva Spoločnosti. </w:t>
      </w:r>
    </w:p>
    <w:p w:rsidR="00A87B6D" w:rsidRPr="00C56EB7" w:rsidRDefault="00A87B6D" w:rsidP="00A87B6D">
      <w:pPr>
        <w:pStyle w:val="Odsekzoznamu"/>
        <w:spacing w:after="0" w:line="240" w:lineRule="auto"/>
        <w:ind w:left="851"/>
        <w:jc w:val="both"/>
        <w:rPr>
          <w:b/>
        </w:rPr>
      </w:pPr>
    </w:p>
    <w:p w:rsidR="00A87B6D" w:rsidRDefault="00A87B6D" w:rsidP="00A87B6D">
      <w:pPr>
        <w:pStyle w:val="Odsekzoznamu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C56EB7">
        <w:rPr>
          <w:b/>
        </w:rPr>
        <w:t>Sankcie</w:t>
      </w:r>
      <w:r>
        <w:rPr>
          <w:b/>
        </w:rPr>
        <w:t xml:space="preserve"> za porušenie Dohody</w:t>
      </w:r>
    </w:p>
    <w:p w:rsidR="00A87B6D" w:rsidRDefault="00A87B6D" w:rsidP="00A87B6D">
      <w:pPr>
        <w:pStyle w:val="Odsekzoznamu"/>
        <w:spacing w:after="0" w:line="240" w:lineRule="auto"/>
        <w:ind w:left="360"/>
        <w:jc w:val="both"/>
        <w:rPr>
          <w:b/>
        </w:rPr>
      </w:pPr>
    </w:p>
    <w:p w:rsidR="00A87B6D" w:rsidRPr="00C56EB7" w:rsidRDefault="00A87B6D" w:rsidP="00A87B6D">
      <w:pPr>
        <w:pStyle w:val="Odsekzoznamu"/>
        <w:numPr>
          <w:ilvl w:val="0"/>
          <w:numId w:val="2"/>
        </w:numPr>
        <w:spacing w:after="0" w:line="240" w:lineRule="auto"/>
        <w:jc w:val="both"/>
        <w:rPr>
          <w:b/>
        </w:rPr>
      </w:pPr>
      <w:proofErr w:type="spellStart"/>
      <w:r>
        <w:rPr>
          <w:b/>
        </w:rPr>
        <w:t>Exitové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mechanismy</w:t>
      </w:r>
      <w:proofErr w:type="spellEnd"/>
      <w:r>
        <w:rPr>
          <w:b/>
        </w:rPr>
        <w:t xml:space="preserve"> a riešenie patovej situácie</w:t>
      </w:r>
    </w:p>
    <w:p w:rsidR="00A87B6D" w:rsidRDefault="00A87B6D" w:rsidP="00A87B6D">
      <w:pPr>
        <w:pStyle w:val="Odsekzoznamu"/>
        <w:spacing w:after="0" w:line="240" w:lineRule="auto"/>
        <w:ind w:left="360"/>
        <w:jc w:val="both"/>
        <w:rPr>
          <w:b/>
        </w:rPr>
      </w:pPr>
    </w:p>
    <w:p w:rsidR="00A87B6D" w:rsidRDefault="00A87B6D" w:rsidP="00A87B6D">
      <w:pPr>
        <w:pStyle w:val="Odsekzoznamu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Platnosť a účinnosť dohody</w:t>
      </w:r>
    </w:p>
    <w:p w:rsidR="00A87B6D" w:rsidRPr="00C56EB7" w:rsidRDefault="00A87B6D" w:rsidP="00A87B6D">
      <w:pPr>
        <w:pStyle w:val="Odsekzoznamu"/>
        <w:numPr>
          <w:ilvl w:val="1"/>
          <w:numId w:val="2"/>
        </w:numPr>
        <w:spacing w:after="0" w:line="240" w:lineRule="auto"/>
        <w:ind w:left="851" w:hanging="491"/>
        <w:jc w:val="both"/>
        <w:rPr>
          <w:b/>
        </w:rPr>
      </w:pPr>
      <w:r w:rsidRPr="00C56EB7">
        <w:t xml:space="preserve">Tato Dohoda nadobúda platnosť dňom podpisu strán  a účinnosť dňom splnenia všetkých podmienok obsiahnutých v Prílohe 2 tejto </w:t>
      </w:r>
      <w:r>
        <w:t>D</w:t>
      </w:r>
      <w:r w:rsidRPr="00C56EB7">
        <w:t>ohody.</w:t>
      </w:r>
    </w:p>
    <w:p w:rsidR="00A87B6D" w:rsidRPr="00C56EB7" w:rsidRDefault="00A87B6D" w:rsidP="00A87B6D">
      <w:pPr>
        <w:pStyle w:val="Odsekzoznamu"/>
        <w:numPr>
          <w:ilvl w:val="1"/>
          <w:numId w:val="2"/>
        </w:numPr>
        <w:spacing w:after="0" w:line="240" w:lineRule="auto"/>
        <w:ind w:left="851" w:hanging="491"/>
        <w:jc w:val="both"/>
        <w:rPr>
          <w:b/>
        </w:rPr>
      </w:pPr>
      <w:r>
        <w:t>Táto D</w:t>
      </w:r>
      <w:r w:rsidRPr="00C56EB7">
        <w:t>oho</w:t>
      </w:r>
      <w:r>
        <w:t>da sa uzatvára na dobu neurčitú.</w:t>
      </w:r>
    </w:p>
    <w:p w:rsidR="00A87B6D" w:rsidRPr="00C56EB7" w:rsidRDefault="00A87B6D" w:rsidP="00A87B6D">
      <w:pPr>
        <w:pStyle w:val="Odsekzoznamu"/>
        <w:spacing w:after="0" w:line="240" w:lineRule="auto"/>
        <w:ind w:left="851"/>
        <w:jc w:val="both"/>
        <w:rPr>
          <w:b/>
        </w:rPr>
      </w:pPr>
    </w:p>
    <w:p w:rsidR="00A87B6D" w:rsidRPr="00C56EB7" w:rsidRDefault="00A87B6D" w:rsidP="00A87B6D">
      <w:pPr>
        <w:pStyle w:val="Odsekzoznamu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C56EB7">
        <w:rPr>
          <w:b/>
        </w:rPr>
        <w:t>Záverečné ustanovenia</w:t>
      </w:r>
    </w:p>
    <w:p w:rsidR="00A87B6D" w:rsidRPr="00C56EB7" w:rsidRDefault="00A87B6D" w:rsidP="00A87B6D">
      <w:pPr>
        <w:pStyle w:val="Odsekzoznamu"/>
        <w:numPr>
          <w:ilvl w:val="1"/>
          <w:numId w:val="2"/>
        </w:numPr>
        <w:spacing w:after="0" w:line="240" w:lineRule="auto"/>
        <w:ind w:left="851" w:hanging="491"/>
        <w:jc w:val="both"/>
        <w:rPr>
          <w:b/>
        </w:rPr>
      </w:pPr>
      <w:r w:rsidRPr="00C56EB7">
        <w:t>Táto Dohoda, ako aj všetky právne vzťahy z nej vyplýv</w:t>
      </w:r>
      <w:r>
        <w:t>ajúce, sa riadia právnym poriad</w:t>
      </w:r>
      <w:r w:rsidRPr="00C56EB7">
        <w:t>k</w:t>
      </w:r>
      <w:r>
        <w:t>om Slovenskej</w:t>
      </w:r>
      <w:r w:rsidRPr="00C56EB7">
        <w:t xml:space="preserve"> republiky. Všetky spory vznikajúce z tejto Dohody a v súvislosti s ňou budú rozhodované s konečnou platnosťou všeobecnými súdmi </w:t>
      </w:r>
      <w:r>
        <w:t>Slovenskej</w:t>
      </w:r>
      <w:r w:rsidRPr="00C56EB7">
        <w:t xml:space="preserve"> republiky.  </w:t>
      </w:r>
    </w:p>
    <w:p w:rsidR="00A87B6D" w:rsidRPr="00C56EB7" w:rsidRDefault="00A87B6D" w:rsidP="00A87B6D">
      <w:pPr>
        <w:pStyle w:val="Nadpis2"/>
        <w:numPr>
          <w:ilvl w:val="1"/>
          <w:numId w:val="2"/>
        </w:numPr>
        <w:spacing w:before="0"/>
        <w:ind w:left="851" w:hanging="491"/>
        <w:rPr>
          <w:rFonts w:asciiTheme="minorHAnsi" w:hAnsiTheme="minorHAnsi"/>
          <w:sz w:val="22"/>
          <w:szCs w:val="22"/>
          <w:lang w:val="sk-SK"/>
        </w:rPr>
      </w:pPr>
      <w:r w:rsidRPr="00C56EB7">
        <w:rPr>
          <w:rFonts w:asciiTheme="minorHAnsi" w:hAnsiTheme="minorHAnsi"/>
          <w:sz w:val="22"/>
          <w:szCs w:val="22"/>
          <w:lang w:val="sk-SK"/>
        </w:rPr>
        <w:t xml:space="preserve">Každá zmena tejto Dohody môže byť vykonaná výlučne písomnou formou. </w:t>
      </w:r>
    </w:p>
    <w:p w:rsidR="00A87B6D" w:rsidRPr="00C56EB7" w:rsidRDefault="00A87B6D" w:rsidP="00A87B6D">
      <w:pPr>
        <w:pStyle w:val="Nadpis2"/>
        <w:numPr>
          <w:ilvl w:val="1"/>
          <w:numId w:val="2"/>
        </w:numPr>
        <w:spacing w:before="0"/>
        <w:ind w:left="851" w:hanging="491"/>
        <w:rPr>
          <w:rFonts w:asciiTheme="minorHAnsi" w:hAnsiTheme="minorHAnsi"/>
          <w:sz w:val="22"/>
          <w:szCs w:val="22"/>
          <w:lang w:val="sk-SK"/>
        </w:rPr>
      </w:pPr>
      <w:r w:rsidRPr="00C56EB7">
        <w:rPr>
          <w:rFonts w:asciiTheme="minorHAnsi" w:hAnsiTheme="minorHAnsi"/>
          <w:sz w:val="22"/>
          <w:szCs w:val="22"/>
          <w:lang w:val="sk-SK"/>
        </w:rPr>
        <w:t xml:space="preserve">Strany prehlasujú, že táto Dohoda bola spísaná podľa skutočnej slobodnej vôle, určite, vážne a zrozumiteľne. Súčasne strany potvrdzujú, že si Dohodu prečítali, súhlasí s jej obsahom, čo potvrdzujú svojimi podpismi.  </w:t>
      </w:r>
    </w:p>
    <w:p w:rsidR="00A87B6D" w:rsidRDefault="00A87B6D" w:rsidP="00A87B6D">
      <w:pPr>
        <w:spacing w:after="0" w:line="240" w:lineRule="auto"/>
        <w:jc w:val="both"/>
      </w:pPr>
    </w:p>
    <w:p w:rsidR="00424BE2" w:rsidRDefault="00424BE2"/>
    <w:sectPr w:rsidR="00424B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080" w:rsidRDefault="003E0080" w:rsidP="00A87B6D">
      <w:pPr>
        <w:spacing w:after="0" w:line="240" w:lineRule="auto"/>
      </w:pPr>
      <w:r>
        <w:separator/>
      </w:r>
    </w:p>
  </w:endnote>
  <w:endnote w:type="continuationSeparator" w:id="0">
    <w:p w:rsidR="003E0080" w:rsidRDefault="003E0080" w:rsidP="00A8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080" w:rsidRDefault="003E0080" w:rsidP="00A87B6D">
      <w:pPr>
        <w:spacing w:after="0" w:line="240" w:lineRule="auto"/>
      </w:pPr>
      <w:r>
        <w:separator/>
      </w:r>
    </w:p>
  </w:footnote>
  <w:footnote w:type="continuationSeparator" w:id="0">
    <w:p w:rsidR="003E0080" w:rsidRDefault="003E0080" w:rsidP="00A8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EB7" w:rsidRPr="00C56EB7" w:rsidRDefault="00A87B6D" w:rsidP="00C56EB7">
    <w:pPr>
      <w:spacing w:after="0" w:line="240" w:lineRule="auto"/>
      <w:rPr>
        <w:rFonts w:cs="Times New Roman"/>
      </w:rPr>
    </w:pPr>
    <w:r>
      <w:rPr>
        <w:rFonts w:cs="Times New Roman"/>
      </w:rPr>
      <w:t>Predmet: Právo obchodných spoločností</w:t>
    </w:r>
  </w:p>
  <w:p w:rsidR="00C56EB7" w:rsidRPr="00C56EB7" w:rsidRDefault="00A87B6D" w:rsidP="00C56EB7">
    <w:pPr>
      <w:spacing w:after="0" w:line="240" w:lineRule="auto"/>
      <w:rPr>
        <w:rFonts w:cs="Times New Roman"/>
      </w:rPr>
    </w:pPr>
    <w:r>
      <w:rPr>
        <w:color w:val="000000"/>
      </w:rPr>
      <w:t xml:space="preserve">Príprava dohody spoločníkov </w:t>
    </w:r>
    <w:proofErr w:type="spellStart"/>
    <w:r>
      <w:rPr>
        <w:color w:val="000000"/>
      </w:rPr>
      <w:t>start-upového</w:t>
    </w:r>
    <w:proofErr w:type="spellEnd"/>
    <w:r>
      <w:rPr>
        <w:color w:val="000000"/>
      </w:rPr>
      <w:t xml:space="preserve">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23AC"/>
    <w:multiLevelType w:val="multilevel"/>
    <w:tmpl w:val="24A29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326F90"/>
    <w:multiLevelType w:val="multilevel"/>
    <w:tmpl w:val="5846E700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6D"/>
    <w:rsid w:val="003E0080"/>
    <w:rsid w:val="00424BE2"/>
    <w:rsid w:val="00527D5E"/>
    <w:rsid w:val="00746BFB"/>
    <w:rsid w:val="00A87B6D"/>
    <w:rsid w:val="00EB60DA"/>
    <w:rsid w:val="00EE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E0DA"/>
  <w15:chartTrackingRefBased/>
  <w15:docId w15:val="{9D4EB453-B7A9-4F8C-9D35-0319AC4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7B6D"/>
  </w:style>
  <w:style w:type="paragraph" w:styleId="Nadpis1">
    <w:name w:val="heading 1"/>
    <w:basedOn w:val="Normlny"/>
    <w:next w:val="Normlny"/>
    <w:link w:val="Nadpis1Char"/>
    <w:qFormat/>
    <w:rsid w:val="00A87B6D"/>
    <w:pPr>
      <w:keepNext/>
      <w:keepLines/>
      <w:numPr>
        <w:numId w:val="1"/>
      </w:numPr>
      <w:tabs>
        <w:tab w:val="clear" w:pos="425"/>
        <w:tab w:val="num" w:pos="567"/>
      </w:tabs>
      <w:spacing w:before="720" w:after="120" w:line="240" w:lineRule="auto"/>
      <w:ind w:left="567" w:hanging="567"/>
      <w:jc w:val="both"/>
      <w:outlineLvl w:val="0"/>
    </w:pPr>
    <w:rPr>
      <w:rFonts w:ascii="Garamond" w:eastAsia="Times New Roman" w:hAnsi="Garamond" w:cs="Times New Roman"/>
      <w:b/>
      <w:caps/>
      <w:kern w:val="28"/>
      <w:sz w:val="24"/>
      <w:szCs w:val="20"/>
      <w:lang w:val="cs-CZ"/>
    </w:rPr>
  </w:style>
  <w:style w:type="paragraph" w:styleId="Nadpis2">
    <w:name w:val="heading 2"/>
    <w:basedOn w:val="Normlny"/>
    <w:next w:val="Normlny"/>
    <w:link w:val="Nadpis2Char"/>
    <w:qFormat/>
    <w:rsid w:val="00A87B6D"/>
    <w:pPr>
      <w:keepNext/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Garamond" w:eastAsia="Times New Roman" w:hAnsi="Garamond" w:cs="Times New Roman"/>
      <w:sz w:val="24"/>
      <w:szCs w:val="20"/>
      <w:lang w:val="cs-CZ"/>
    </w:rPr>
  </w:style>
  <w:style w:type="paragraph" w:styleId="Nadpis3">
    <w:name w:val="heading 3"/>
    <w:basedOn w:val="Normlny"/>
    <w:next w:val="Normlny"/>
    <w:link w:val="Nadpis3Char"/>
    <w:qFormat/>
    <w:rsid w:val="00A87B6D"/>
    <w:pPr>
      <w:keepNext/>
      <w:keepLines/>
      <w:numPr>
        <w:ilvl w:val="2"/>
        <w:numId w:val="1"/>
      </w:numPr>
      <w:spacing w:before="120" w:after="0" w:line="240" w:lineRule="auto"/>
      <w:jc w:val="both"/>
      <w:outlineLvl w:val="2"/>
    </w:pPr>
    <w:rPr>
      <w:rFonts w:ascii="Garamond" w:eastAsia="Times New Roman" w:hAnsi="Garamond" w:cs="Times New Roman"/>
      <w:sz w:val="24"/>
      <w:szCs w:val="20"/>
      <w:lang w:val="cs-CZ"/>
    </w:rPr>
  </w:style>
  <w:style w:type="paragraph" w:styleId="Nadpis4">
    <w:name w:val="heading 4"/>
    <w:basedOn w:val="Normlny"/>
    <w:next w:val="Normlny"/>
    <w:link w:val="Nadpis4Char"/>
    <w:qFormat/>
    <w:rsid w:val="00A87B6D"/>
    <w:pPr>
      <w:keepNext/>
      <w:keepLines/>
      <w:numPr>
        <w:ilvl w:val="3"/>
        <w:numId w:val="1"/>
      </w:numPr>
      <w:spacing w:before="120" w:after="0" w:line="240" w:lineRule="auto"/>
      <w:jc w:val="both"/>
      <w:outlineLvl w:val="3"/>
    </w:pPr>
    <w:rPr>
      <w:rFonts w:ascii="Garamond" w:eastAsia="Times New Roman" w:hAnsi="Garamond" w:cs="Times New Roman"/>
      <w:sz w:val="24"/>
      <w:szCs w:val="20"/>
      <w:lang w:val="cs-CZ"/>
    </w:rPr>
  </w:style>
  <w:style w:type="paragraph" w:styleId="Nadpis5">
    <w:name w:val="heading 5"/>
    <w:basedOn w:val="Normlny"/>
    <w:link w:val="Nadpis5Char"/>
    <w:qFormat/>
    <w:rsid w:val="00A87B6D"/>
    <w:pPr>
      <w:keepNext/>
      <w:keepLines/>
      <w:numPr>
        <w:ilvl w:val="4"/>
        <w:numId w:val="1"/>
      </w:numPr>
      <w:tabs>
        <w:tab w:val="left" w:pos="1985"/>
      </w:tabs>
      <w:spacing w:before="120" w:after="0" w:line="240" w:lineRule="auto"/>
      <w:jc w:val="both"/>
      <w:outlineLvl w:val="4"/>
    </w:pPr>
    <w:rPr>
      <w:rFonts w:ascii="Garamond" w:eastAsia="Times New Roman" w:hAnsi="Garamond" w:cs="Times New Roman"/>
      <w:sz w:val="24"/>
      <w:szCs w:val="20"/>
      <w:lang w:val="cs-CZ"/>
    </w:rPr>
  </w:style>
  <w:style w:type="paragraph" w:styleId="Nadpis6">
    <w:name w:val="heading 6"/>
    <w:basedOn w:val="Normlny"/>
    <w:link w:val="Nadpis6Char"/>
    <w:qFormat/>
    <w:rsid w:val="00A87B6D"/>
    <w:pPr>
      <w:keepNext/>
      <w:keepLines/>
      <w:numPr>
        <w:ilvl w:val="5"/>
        <w:numId w:val="1"/>
      </w:numPr>
      <w:spacing w:before="120" w:after="0" w:line="240" w:lineRule="auto"/>
      <w:jc w:val="both"/>
      <w:outlineLvl w:val="5"/>
    </w:pPr>
    <w:rPr>
      <w:rFonts w:ascii="Garamond" w:eastAsia="Times New Roman" w:hAnsi="Garamond" w:cs="Times New Roman"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87B6D"/>
    <w:rPr>
      <w:rFonts w:ascii="Garamond" w:eastAsia="Times New Roman" w:hAnsi="Garamond" w:cs="Times New Roman"/>
      <w:b/>
      <w:caps/>
      <w:kern w:val="28"/>
      <w:sz w:val="24"/>
      <w:szCs w:val="20"/>
      <w:lang w:val="cs-CZ"/>
    </w:rPr>
  </w:style>
  <w:style w:type="character" w:customStyle="1" w:styleId="Nadpis2Char">
    <w:name w:val="Nadpis 2 Char"/>
    <w:basedOn w:val="Predvolenpsmoodseku"/>
    <w:link w:val="Nadpis2"/>
    <w:rsid w:val="00A87B6D"/>
    <w:rPr>
      <w:rFonts w:ascii="Garamond" w:eastAsia="Times New Roman" w:hAnsi="Garamond" w:cs="Times New Roman"/>
      <w:sz w:val="24"/>
      <w:szCs w:val="20"/>
      <w:lang w:val="cs-CZ"/>
    </w:rPr>
  </w:style>
  <w:style w:type="character" w:customStyle="1" w:styleId="Nadpis3Char">
    <w:name w:val="Nadpis 3 Char"/>
    <w:basedOn w:val="Predvolenpsmoodseku"/>
    <w:link w:val="Nadpis3"/>
    <w:rsid w:val="00A87B6D"/>
    <w:rPr>
      <w:rFonts w:ascii="Garamond" w:eastAsia="Times New Roman" w:hAnsi="Garamond" w:cs="Times New Roman"/>
      <w:sz w:val="24"/>
      <w:szCs w:val="20"/>
      <w:lang w:val="cs-CZ"/>
    </w:rPr>
  </w:style>
  <w:style w:type="character" w:customStyle="1" w:styleId="Nadpis4Char">
    <w:name w:val="Nadpis 4 Char"/>
    <w:basedOn w:val="Predvolenpsmoodseku"/>
    <w:link w:val="Nadpis4"/>
    <w:rsid w:val="00A87B6D"/>
    <w:rPr>
      <w:rFonts w:ascii="Garamond" w:eastAsia="Times New Roman" w:hAnsi="Garamond" w:cs="Times New Roman"/>
      <w:sz w:val="24"/>
      <w:szCs w:val="20"/>
      <w:lang w:val="cs-CZ"/>
    </w:rPr>
  </w:style>
  <w:style w:type="character" w:customStyle="1" w:styleId="Nadpis5Char">
    <w:name w:val="Nadpis 5 Char"/>
    <w:basedOn w:val="Predvolenpsmoodseku"/>
    <w:link w:val="Nadpis5"/>
    <w:rsid w:val="00A87B6D"/>
    <w:rPr>
      <w:rFonts w:ascii="Garamond" w:eastAsia="Times New Roman" w:hAnsi="Garamond" w:cs="Times New Roman"/>
      <w:sz w:val="24"/>
      <w:szCs w:val="20"/>
      <w:lang w:val="cs-CZ"/>
    </w:rPr>
  </w:style>
  <w:style w:type="character" w:customStyle="1" w:styleId="Nadpis6Char">
    <w:name w:val="Nadpis 6 Char"/>
    <w:basedOn w:val="Predvolenpsmoodseku"/>
    <w:link w:val="Nadpis6"/>
    <w:rsid w:val="00A87B6D"/>
    <w:rPr>
      <w:rFonts w:ascii="Garamond" w:eastAsia="Times New Roman" w:hAnsi="Garamond" w:cs="Times New Roman"/>
      <w:sz w:val="24"/>
      <w:szCs w:val="20"/>
      <w:lang w:val="cs-CZ"/>
    </w:rPr>
  </w:style>
  <w:style w:type="paragraph" w:styleId="Odsekzoznamu">
    <w:name w:val="List Paragraph"/>
    <w:basedOn w:val="Normlny"/>
    <w:uiPriority w:val="34"/>
    <w:qFormat/>
    <w:rsid w:val="00A87B6D"/>
    <w:pPr>
      <w:ind w:left="720"/>
      <w:contextualSpacing/>
    </w:pPr>
  </w:style>
  <w:style w:type="table" w:styleId="Mriekatabuky">
    <w:name w:val="Table Grid"/>
    <w:basedOn w:val="Normlnatabuka"/>
    <w:uiPriority w:val="39"/>
    <w:rsid w:val="00A8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8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7B6D"/>
  </w:style>
  <w:style w:type="paragraph" w:styleId="Pta">
    <w:name w:val="footer"/>
    <w:basedOn w:val="Normlny"/>
    <w:link w:val="PtaChar"/>
    <w:uiPriority w:val="99"/>
    <w:unhideWhenUsed/>
    <w:rsid w:val="00A8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7B6D"/>
  </w:style>
  <w:style w:type="paragraph" w:styleId="Textbubliny">
    <w:name w:val="Balloon Text"/>
    <w:basedOn w:val="Normlny"/>
    <w:link w:val="TextbublinyChar"/>
    <w:uiPriority w:val="99"/>
    <w:semiHidden/>
    <w:unhideWhenUsed/>
    <w:rsid w:val="00527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7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Sulekova</dc:creator>
  <cp:keywords/>
  <dc:description/>
  <cp:lastModifiedBy>Zofia Sulekova</cp:lastModifiedBy>
  <cp:revision>3</cp:revision>
  <cp:lastPrinted>2016-09-28T13:10:00Z</cp:lastPrinted>
  <dcterms:created xsi:type="dcterms:W3CDTF">2016-09-28T12:17:00Z</dcterms:created>
  <dcterms:modified xsi:type="dcterms:W3CDTF">2017-10-31T08:12:00Z</dcterms:modified>
</cp:coreProperties>
</file>