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ED24" w14:textId="77777777" w:rsidR="00A8590B" w:rsidRPr="00B816D4" w:rsidRDefault="00A8590B" w:rsidP="00A8590B">
      <w:pPr>
        <w:tabs>
          <w:tab w:val="left" w:pos="7230"/>
        </w:tabs>
        <w:jc w:val="center"/>
      </w:pPr>
      <w:r w:rsidRPr="00B816D4">
        <w:t>Univerzita Pavla Jozefa Šafárika v Košiciach, Právnická fakulta</w:t>
      </w:r>
    </w:p>
    <w:p w14:paraId="4F4D65EE" w14:textId="77777777" w:rsidR="00A8590B" w:rsidRDefault="00A8590B" w:rsidP="00A8590B">
      <w:pPr>
        <w:pStyle w:val="Nadpis1"/>
        <w:rPr>
          <w:b w:val="0"/>
          <w:bCs w:val="0"/>
        </w:rPr>
      </w:pPr>
      <w:r w:rsidRPr="00B816D4">
        <w:rPr>
          <w:b w:val="0"/>
          <w:bCs w:val="0"/>
        </w:rPr>
        <w:t>Katedra pracovného práva a práva sociálneho zabezpečenia</w:t>
      </w:r>
    </w:p>
    <w:p w14:paraId="47AFDC4F" w14:textId="77777777" w:rsidR="00167881" w:rsidRPr="00167881" w:rsidRDefault="00167881" w:rsidP="00167881"/>
    <w:p w14:paraId="674C42EF" w14:textId="77777777" w:rsidR="00A8590B" w:rsidRDefault="00A8590B" w:rsidP="00A8590B">
      <w:pPr>
        <w:pStyle w:val="Zkladntext"/>
        <w:rPr>
          <w:sz w:val="24"/>
        </w:rPr>
      </w:pPr>
    </w:p>
    <w:p w14:paraId="73B0C51B" w14:textId="77777777" w:rsidR="00A8590B" w:rsidRDefault="00A8590B" w:rsidP="00A8590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Tematický program predmetu</w:t>
      </w:r>
    </w:p>
    <w:p w14:paraId="5F86876E" w14:textId="77777777" w:rsidR="00A8590B" w:rsidRPr="005475A5" w:rsidRDefault="00A8590B" w:rsidP="00A8590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36"/>
          <w:szCs w:val="36"/>
        </w:rPr>
      </w:pPr>
      <w:r w:rsidRPr="005475A5">
        <w:rPr>
          <w:caps/>
          <w:sz w:val="36"/>
          <w:szCs w:val="36"/>
        </w:rPr>
        <w:t>Základy antidiskriminačného práva</w:t>
      </w:r>
    </w:p>
    <w:p w14:paraId="47067315" w14:textId="30ACF01F" w:rsidR="00A8590B" w:rsidRDefault="00A8590B" w:rsidP="00A8590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1. </w:t>
      </w:r>
      <w:r w:rsidR="00C17CE9">
        <w:t xml:space="preserve">a 2. </w:t>
      </w:r>
      <w:r>
        <w:t xml:space="preserve">ročník BŠP </w:t>
      </w:r>
      <w:r w:rsidR="00A17744">
        <w:t>E</w:t>
      </w:r>
      <w:r>
        <w:t>Š – zimný semester, externé štúdium</w:t>
      </w:r>
    </w:p>
    <w:p w14:paraId="28C4EC38" w14:textId="77777777" w:rsidR="00743550" w:rsidRDefault="00743550" w:rsidP="00144499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5EFE5436" w14:textId="77777777" w:rsidR="00167881" w:rsidRDefault="00167881" w:rsidP="00167881">
      <w:pPr>
        <w:pStyle w:val="Zkladntext"/>
        <w:ind w:left="720"/>
        <w:jc w:val="both"/>
        <w:rPr>
          <w:caps/>
          <w:sz w:val="28"/>
          <w:szCs w:val="28"/>
        </w:rPr>
      </w:pPr>
    </w:p>
    <w:p w14:paraId="6DFCA3C3" w14:textId="685301C1" w:rsidR="00F069EF" w:rsidRDefault="006F2CDF" w:rsidP="00F069EF">
      <w:pPr>
        <w:pStyle w:val="Zkladntext"/>
        <w:numPr>
          <w:ilvl w:val="0"/>
          <w:numId w:val="6"/>
        </w:num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konzultácia: </w:t>
      </w:r>
      <w:r w:rsidR="00634011">
        <w:rPr>
          <w:caps/>
          <w:sz w:val="28"/>
          <w:szCs w:val="28"/>
        </w:rPr>
        <w:t>28</w:t>
      </w:r>
      <w:r w:rsidR="00CA0C05">
        <w:rPr>
          <w:caps/>
          <w:sz w:val="28"/>
          <w:szCs w:val="28"/>
        </w:rPr>
        <w:t xml:space="preserve">. </w:t>
      </w:r>
      <w:r w:rsidR="00634011">
        <w:rPr>
          <w:caps/>
          <w:sz w:val="28"/>
          <w:szCs w:val="28"/>
        </w:rPr>
        <w:t>09</w:t>
      </w:r>
      <w:r w:rsidR="00CA0C05">
        <w:rPr>
          <w:caps/>
          <w:sz w:val="28"/>
          <w:szCs w:val="28"/>
        </w:rPr>
        <w:t xml:space="preserve">. </w:t>
      </w:r>
      <w:r w:rsidR="00A20D6F">
        <w:rPr>
          <w:caps/>
          <w:sz w:val="28"/>
          <w:szCs w:val="28"/>
        </w:rPr>
        <w:t>202</w:t>
      </w:r>
      <w:r w:rsidR="00634011">
        <w:rPr>
          <w:caps/>
          <w:sz w:val="28"/>
          <w:szCs w:val="28"/>
        </w:rPr>
        <w:t>4</w:t>
      </w:r>
      <w:r>
        <w:rPr>
          <w:caps/>
          <w:sz w:val="28"/>
          <w:szCs w:val="28"/>
        </w:rPr>
        <w:t>,</w:t>
      </w:r>
      <w:r w:rsidR="007042C0" w:rsidRPr="006F2CDF">
        <w:rPr>
          <w:caps/>
          <w:sz w:val="28"/>
          <w:szCs w:val="28"/>
        </w:rPr>
        <w:t xml:space="preserve"> </w:t>
      </w:r>
      <w:r w:rsidR="00F069EF">
        <w:rPr>
          <w:caps/>
          <w:sz w:val="28"/>
          <w:szCs w:val="28"/>
        </w:rPr>
        <w:t>1</w:t>
      </w:r>
      <w:r w:rsidR="00634011">
        <w:rPr>
          <w:caps/>
          <w:sz w:val="28"/>
          <w:szCs w:val="28"/>
        </w:rPr>
        <w:t>4</w:t>
      </w:r>
      <w:r w:rsidR="00F069EF">
        <w:rPr>
          <w:caps/>
          <w:sz w:val="28"/>
          <w:szCs w:val="28"/>
        </w:rPr>
        <w:t>:2</w:t>
      </w:r>
      <w:r w:rsidR="00634011">
        <w:rPr>
          <w:caps/>
          <w:sz w:val="28"/>
          <w:szCs w:val="28"/>
        </w:rPr>
        <w:t>5</w:t>
      </w:r>
      <w:r w:rsidR="00F069EF">
        <w:rPr>
          <w:caps/>
          <w:sz w:val="28"/>
          <w:szCs w:val="28"/>
        </w:rPr>
        <w:t xml:space="preserve"> </w:t>
      </w:r>
      <w:r w:rsidR="007C7AC9" w:rsidRPr="007F1B44">
        <w:rPr>
          <w:caps/>
          <w:sz w:val="28"/>
          <w:szCs w:val="28"/>
        </w:rPr>
        <w:t xml:space="preserve">– </w:t>
      </w:r>
      <w:r w:rsidR="00F069EF">
        <w:rPr>
          <w:caps/>
          <w:sz w:val="28"/>
          <w:szCs w:val="28"/>
        </w:rPr>
        <w:t>1</w:t>
      </w:r>
      <w:r w:rsidR="00634011">
        <w:rPr>
          <w:caps/>
          <w:sz w:val="28"/>
          <w:szCs w:val="28"/>
        </w:rPr>
        <w:t>5</w:t>
      </w:r>
      <w:r w:rsidR="00CA0C05" w:rsidRPr="007F1B44">
        <w:rPr>
          <w:caps/>
          <w:sz w:val="28"/>
          <w:szCs w:val="28"/>
        </w:rPr>
        <w:t>:</w:t>
      </w:r>
      <w:r w:rsidR="00F069EF">
        <w:rPr>
          <w:caps/>
          <w:sz w:val="28"/>
          <w:szCs w:val="28"/>
        </w:rPr>
        <w:t>5</w:t>
      </w:r>
      <w:r w:rsidR="00634011">
        <w:rPr>
          <w:caps/>
          <w:sz w:val="28"/>
          <w:szCs w:val="28"/>
        </w:rPr>
        <w:t>5</w:t>
      </w:r>
      <w:r w:rsidR="007042C0" w:rsidRPr="007F1B44">
        <w:rPr>
          <w:caps/>
          <w:sz w:val="28"/>
          <w:szCs w:val="28"/>
        </w:rPr>
        <w:t xml:space="preserve"> </w:t>
      </w:r>
      <w:r w:rsidR="001212D1" w:rsidRPr="007F1B44">
        <w:rPr>
          <w:sz w:val="28"/>
          <w:szCs w:val="28"/>
        </w:rPr>
        <w:t>hod.</w:t>
      </w:r>
      <w:r w:rsidR="00377030">
        <w:rPr>
          <w:sz w:val="28"/>
          <w:szCs w:val="28"/>
        </w:rPr>
        <w:t xml:space="preserve">, </w:t>
      </w:r>
      <w:r w:rsidR="00377030" w:rsidRPr="00377030">
        <w:rPr>
          <w:sz w:val="28"/>
          <w:szCs w:val="28"/>
        </w:rPr>
        <w:t>L</w:t>
      </w:r>
      <w:r w:rsidR="00634011">
        <w:rPr>
          <w:sz w:val="28"/>
          <w:szCs w:val="28"/>
        </w:rPr>
        <w:t>B2P</w:t>
      </w:r>
      <w:r w:rsidR="00EC6C65">
        <w:rPr>
          <w:sz w:val="28"/>
          <w:szCs w:val="28"/>
        </w:rPr>
        <w:t>13</w:t>
      </w:r>
    </w:p>
    <w:p w14:paraId="114BD516" w14:textId="78C9BA4A" w:rsidR="008E402D" w:rsidRPr="00F069EF" w:rsidRDefault="003C22C8" w:rsidP="00F069EF">
      <w:pPr>
        <w:pStyle w:val="Zkladntext"/>
        <w:ind w:left="720"/>
        <w:jc w:val="both"/>
        <w:rPr>
          <w:caps/>
          <w:sz w:val="28"/>
          <w:szCs w:val="28"/>
        </w:rPr>
      </w:pPr>
      <w:r w:rsidRPr="00F069EF">
        <w:rPr>
          <w:sz w:val="28"/>
          <w:szCs w:val="28"/>
        </w:rPr>
        <w:t>vyučujúc</w:t>
      </w:r>
      <w:r w:rsidR="007F1F77" w:rsidRPr="00F069EF">
        <w:rPr>
          <w:sz w:val="28"/>
          <w:szCs w:val="28"/>
        </w:rPr>
        <w:t>i</w:t>
      </w:r>
      <w:r w:rsidRPr="00F069EF">
        <w:rPr>
          <w:sz w:val="28"/>
          <w:szCs w:val="28"/>
        </w:rPr>
        <w:t xml:space="preserve">: </w:t>
      </w:r>
      <w:r w:rsidR="00A8590B" w:rsidRPr="00F069EF">
        <w:rPr>
          <w:sz w:val="28"/>
          <w:szCs w:val="28"/>
        </w:rPr>
        <w:t xml:space="preserve">Mgr. Ivan </w:t>
      </w:r>
      <w:proofErr w:type="spellStart"/>
      <w:r w:rsidR="00A8590B" w:rsidRPr="00F069EF">
        <w:rPr>
          <w:sz w:val="28"/>
          <w:szCs w:val="28"/>
        </w:rPr>
        <w:t>Kundrát</w:t>
      </w:r>
      <w:proofErr w:type="spellEnd"/>
      <w:r w:rsidR="007F1F77" w:rsidRPr="00F069EF">
        <w:rPr>
          <w:sz w:val="28"/>
          <w:szCs w:val="28"/>
        </w:rPr>
        <w:t>, PhD.</w:t>
      </w:r>
    </w:p>
    <w:p w14:paraId="253A6A23" w14:textId="70DD330B" w:rsidR="00177304" w:rsidRPr="007F1B44" w:rsidRDefault="00324573" w:rsidP="007F1B44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7F1B44">
        <w:rPr>
          <w:b w:val="0"/>
          <w:sz w:val="22"/>
          <w:szCs w:val="22"/>
        </w:rPr>
        <w:t xml:space="preserve">Vymedzenie pojmu diskriminácia, formy diskriminácie podľa antidiskriminačného zákona – priama diskriminácia, nepriama diskriminácia, obťažovanie, sexuálne obťažovanie, neoprávnený postih, pokyn na diskrimináciu, nabádanie na diskrimináciu. </w:t>
      </w:r>
    </w:p>
    <w:p w14:paraId="6E181A82" w14:textId="77777777" w:rsidR="00324573" w:rsidRPr="007F1B44" w:rsidRDefault="00324573" w:rsidP="007F1B44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7F1B44">
        <w:rPr>
          <w:b w:val="0"/>
          <w:sz w:val="22"/>
          <w:szCs w:val="22"/>
        </w:rPr>
        <w:t>Zákaz diskriminácie v rozhodovacej činnosti Ústavného súdu Slovenskej republiky.</w:t>
      </w:r>
    </w:p>
    <w:p w14:paraId="4101B616" w14:textId="2FC72AD6" w:rsidR="00324573" w:rsidRDefault="00324573" w:rsidP="007F1B44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7F1B44">
        <w:rPr>
          <w:b w:val="0"/>
          <w:sz w:val="22"/>
          <w:szCs w:val="22"/>
        </w:rPr>
        <w:t>Zákaz diskriminácie v medzinárodných dokumentoch. Rozsah pôsobnosti európskeho antidiskriminačného práva. Zákaz diskriminácie v Európskom dohovore o ochrane ľudských práv. Konanie pred Európskym súdom pre ľudské práva v prípadoch diskriminácie.</w:t>
      </w:r>
    </w:p>
    <w:p w14:paraId="00B4C7E5" w14:textId="77777777" w:rsidR="00743550" w:rsidRPr="0057247C" w:rsidRDefault="00743550" w:rsidP="00E3244A">
      <w:pPr>
        <w:pStyle w:val="Zkladntext"/>
        <w:jc w:val="both"/>
        <w:rPr>
          <w:color w:val="7030A0"/>
          <w:sz w:val="20"/>
          <w:szCs w:val="20"/>
        </w:rPr>
      </w:pPr>
      <w:r w:rsidRPr="007042C0">
        <w:rPr>
          <w:b w:val="0"/>
          <w:bCs w:val="0"/>
          <w:sz w:val="20"/>
          <w:szCs w:val="20"/>
        </w:rPr>
        <w:tab/>
      </w:r>
    </w:p>
    <w:p w14:paraId="7B328B4D" w14:textId="3BA9D566" w:rsidR="00F069EF" w:rsidRDefault="007C7AC9" w:rsidP="00F069EF">
      <w:pPr>
        <w:pStyle w:val="Zkladntext"/>
        <w:numPr>
          <w:ilvl w:val="0"/>
          <w:numId w:val="6"/>
        </w:numPr>
        <w:jc w:val="both"/>
        <w:rPr>
          <w:caps/>
          <w:color w:val="000000" w:themeColor="text1"/>
          <w:sz w:val="28"/>
          <w:szCs w:val="28"/>
        </w:rPr>
      </w:pPr>
      <w:r>
        <w:rPr>
          <w:caps/>
          <w:sz w:val="28"/>
          <w:szCs w:val="28"/>
        </w:rPr>
        <w:t xml:space="preserve">konzultácia: </w:t>
      </w:r>
      <w:r w:rsidR="00634011">
        <w:rPr>
          <w:caps/>
          <w:color w:val="000000" w:themeColor="text1"/>
          <w:sz w:val="28"/>
          <w:szCs w:val="28"/>
        </w:rPr>
        <w:t>26</w:t>
      </w:r>
      <w:r w:rsidR="008277B5">
        <w:rPr>
          <w:caps/>
          <w:color w:val="000000" w:themeColor="text1"/>
          <w:sz w:val="28"/>
          <w:szCs w:val="28"/>
        </w:rPr>
        <w:t>.</w:t>
      </w:r>
      <w:r w:rsidR="004D2FCF">
        <w:rPr>
          <w:caps/>
          <w:color w:val="000000" w:themeColor="text1"/>
          <w:sz w:val="28"/>
          <w:szCs w:val="28"/>
        </w:rPr>
        <w:t xml:space="preserve"> </w:t>
      </w:r>
      <w:r w:rsidR="008277B5">
        <w:rPr>
          <w:caps/>
          <w:color w:val="000000" w:themeColor="text1"/>
          <w:sz w:val="28"/>
          <w:szCs w:val="28"/>
        </w:rPr>
        <w:t>1</w:t>
      </w:r>
      <w:r w:rsidR="00634011">
        <w:rPr>
          <w:caps/>
          <w:color w:val="000000" w:themeColor="text1"/>
          <w:sz w:val="28"/>
          <w:szCs w:val="28"/>
        </w:rPr>
        <w:t>0</w:t>
      </w:r>
      <w:r w:rsidR="008277B5">
        <w:rPr>
          <w:caps/>
          <w:color w:val="000000" w:themeColor="text1"/>
          <w:sz w:val="28"/>
          <w:szCs w:val="28"/>
        </w:rPr>
        <w:t>.</w:t>
      </w:r>
      <w:r w:rsidR="004D2FCF">
        <w:rPr>
          <w:caps/>
          <w:color w:val="000000" w:themeColor="text1"/>
          <w:sz w:val="28"/>
          <w:szCs w:val="28"/>
        </w:rPr>
        <w:t xml:space="preserve"> </w:t>
      </w:r>
      <w:r w:rsidR="00A20D6F">
        <w:rPr>
          <w:caps/>
          <w:color w:val="000000" w:themeColor="text1"/>
          <w:sz w:val="28"/>
          <w:szCs w:val="28"/>
        </w:rPr>
        <w:t>202</w:t>
      </w:r>
      <w:r w:rsidR="00634011">
        <w:rPr>
          <w:caps/>
          <w:color w:val="000000" w:themeColor="text1"/>
          <w:sz w:val="28"/>
          <w:szCs w:val="28"/>
        </w:rPr>
        <w:t>4</w:t>
      </w:r>
      <w:r w:rsidR="008277B5">
        <w:rPr>
          <w:caps/>
          <w:color w:val="000000" w:themeColor="text1"/>
          <w:sz w:val="28"/>
          <w:szCs w:val="28"/>
        </w:rPr>
        <w:t xml:space="preserve">, </w:t>
      </w:r>
      <w:r w:rsidR="00F069EF">
        <w:rPr>
          <w:caps/>
          <w:color w:val="000000" w:themeColor="text1"/>
          <w:sz w:val="28"/>
          <w:szCs w:val="28"/>
        </w:rPr>
        <w:t>17</w:t>
      </w:r>
      <w:r w:rsidR="008277B5">
        <w:rPr>
          <w:caps/>
          <w:color w:val="000000" w:themeColor="text1"/>
          <w:sz w:val="28"/>
          <w:szCs w:val="28"/>
        </w:rPr>
        <w:t>:</w:t>
      </w:r>
      <w:r w:rsidR="00634011">
        <w:rPr>
          <w:caps/>
          <w:color w:val="000000" w:themeColor="text1"/>
          <w:sz w:val="28"/>
          <w:szCs w:val="28"/>
        </w:rPr>
        <w:t>30</w:t>
      </w:r>
      <w:r w:rsidR="00001D92" w:rsidRPr="00001D92">
        <w:rPr>
          <w:caps/>
          <w:color w:val="000000" w:themeColor="text1"/>
          <w:sz w:val="28"/>
          <w:szCs w:val="28"/>
        </w:rPr>
        <w:t xml:space="preserve"> –</w:t>
      </w:r>
      <w:r w:rsidR="008277B5">
        <w:rPr>
          <w:caps/>
          <w:color w:val="000000" w:themeColor="text1"/>
          <w:sz w:val="28"/>
          <w:szCs w:val="28"/>
        </w:rPr>
        <w:t xml:space="preserve"> </w:t>
      </w:r>
      <w:r w:rsidR="00A8590B">
        <w:rPr>
          <w:caps/>
          <w:color w:val="000000" w:themeColor="text1"/>
          <w:sz w:val="28"/>
          <w:szCs w:val="28"/>
        </w:rPr>
        <w:t>1</w:t>
      </w:r>
      <w:r w:rsidR="00634011">
        <w:rPr>
          <w:caps/>
          <w:color w:val="000000" w:themeColor="text1"/>
          <w:sz w:val="28"/>
          <w:szCs w:val="28"/>
        </w:rPr>
        <w:t>9</w:t>
      </w:r>
      <w:r w:rsidR="00001D92" w:rsidRPr="00001D92">
        <w:rPr>
          <w:caps/>
          <w:color w:val="000000" w:themeColor="text1"/>
          <w:sz w:val="28"/>
          <w:szCs w:val="28"/>
        </w:rPr>
        <w:t>:</w:t>
      </w:r>
      <w:r w:rsidR="00634011">
        <w:rPr>
          <w:caps/>
          <w:color w:val="000000" w:themeColor="text1"/>
          <w:sz w:val="28"/>
          <w:szCs w:val="28"/>
        </w:rPr>
        <w:t>0</w:t>
      </w:r>
      <w:r w:rsidR="00F069EF">
        <w:rPr>
          <w:caps/>
          <w:color w:val="000000" w:themeColor="text1"/>
          <w:sz w:val="28"/>
          <w:szCs w:val="28"/>
        </w:rPr>
        <w:t>0</w:t>
      </w:r>
      <w:r w:rsidR="00001D92" w:rsidRPr="00001D92">
        <w:rPr>
          <w:caps/>
          <w:color w:val="000000" w:themeColor="text1"/>
          <w:sz w:val="28"/>
          <w:szCs w:val="28"/>
        </w:rPr>
        <w:t xml:space="preserve"> </w:t>
      </w:r>
      <w:r w:rsidR="00001D92" w:rsidRPr="00001D92">
        <w:rPr>
          <w:color w:val="000000" w:themeColor="text1"/>
          <w:sz w:val="28"/>
          <w:szCs w:val="28"/>
        </w:rPr>
        <w:t>hod.</w:t>
      </w:r>
      <w:r w:rsidR="00377030">
        <w:rPr>
          <w:color w:val="000000" w:themeColor="text1"/>
          <w:sz w:val="28"/>
          <w:szCs w:val="28"/>
        </w:rPr>
        <w:t xml:space="preserve">, </w:t>
      </w:r>
      <w:r w:rsidR="00634011" w:rsidRPr="00377030">
        <w:rPr>
          <w:sz w:val="28"/>
          <w:szCs w:val="28"/>
        </w:rPr>
        <w:t>L</w:t>
      </w:r>
      <w:r w:rsidR="00634011">
        <w:rPr>
          <w:sz w:val="28"/>
          <w:szCs w:val="28"/>
        </w:rPr>
        <w:t>B2P</w:t>
      </w:r>
      <w:r w:rsidR="00EC6C65">
        <w:rPr>
          <w:sz w:val="28"/>
          <w:szCs w:val="28"/>
        </w:rPr>
        <w:t>13</w:t>
      </w:r>
    </w:p>
    <w:p w14:paraId="71AE7BD0" w14:textId="0206A29F" w:rsidR="008E402D" w:rsidRPr="00F069EF" w:rsidRDefault="00A8590B" w:rsidP="00F069EF">
      <w:pPr>
        <w:pStyle w:val="Zkladntext"/>
        <w:ind w:left="720"/>
        <w:jc w:val="both"/>
        <w:rPr>
          <w:caps/>
          <w:color w:val="000000" w:themeColor="text1"/>
          <w:sz w:val="28"/>
          <w:szCs w:val="28"/>
        </w:rPr>
      </w:pPr>
      <w:r w:rsidRPr="00F069EF">
        <w:rPr>
          <w:sz w:val="28"/>
          <w:szCs w:val="28"/>
        </w:rPr>
        <w:t>v</w:t>
      </w:r>
      <w:r w:rsidR="007F1F77" w:rsidRPr="00F069EF">
        <w:rPr>
          <w:sz w:val="28"/>
          <w:szCs w:val="28"/>
        </w:rPr>
        <w:t>yučujúci</w:t>
      </w:r>
      <w:r w:rsidR="387B15B9" w:rsidRPr="00F069EF">
        <w:rPr>
          <w:sz w:val="28"/>
          <w:szCs w:val="28"/>
        </w:rPr>
        <w:t xml:space="preserve">: </w:t>
      </w:r>
      <w:r w:rsidRPr="00F069EF">
        <w:rPr>
          <w:sz w:val="28"/>
          <w:szCs w:val="28"/>
        </w:rPr>
        <w:t xml:space="preserve">Mgr. </w:t>
      </w:r>
      <w:r w:rsidR="0092774F">
        <w:rPr>
          <w:sz w:val="28"/>
          <w:szCs w:val="28"/>
        </w:rPr>
        <w:t xml:space="preserve">Katarína </w:t>
      </w:r>
      <w:proofErr w:type="spellStart"/>
      <w:r w:rsidR="0092774F">
        <w:rPr>
          <w:sz w:val="28"/>
          <w:szCs w:val="28"/>
        </w:rPr>
        <w:t>Fenciková</w:t>
      </w:r>
      <w:proofErr w:type="spellEnd"/>
      <w:r w:rsidRPr="00F069EF">
        <w:rPr>
          <w:sz w:val="28"/>
          <w:szCs w:val="28"/>
        </w:rPr>
        <w:t>, PhD.</w:t>
      </w:r>
      <w:r w:rsidR="006C7765" w:rsidRPr="00F069EF">
        <w:rPr>
          <w:sz w:val="28"/>
          <w:szCs w:val="28"/>
        </w:rPr>
        <w:t xml:space="preserve"> </w:t>
      </w:r>
    </w:p>
    <w:p w14:paraId="599CE362" w14:textId="77777777" w:rsidR="00324573" w:rsidRPr="00FA78D4" w:rsidRDefault="00324573" w:rsidP="00A20D6F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v úniovom práve. Rozhodovacia činnosť Súdneho dvora Európskej únie.</w:t>
      </w:r>
    </w:p>
    <w:p w14:paraId="2AF33D59" w14:textId="14A61371" w:rsidR="00A20D6F" w:rsidRPr="00FA78D4" w:rsidRDefault="00324573" w:rsidP="00A20D6F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pohlavia a sexuálnej orientácie v pracovnoprávnych vzťahoch</w:t>
      </w:r>
    </w:p>
    <w:p w14:paraId="1419F067" w14:textId="627CEB44" w:rsidR="00154A93" w:rsidRPr="00167881" w:rsidRDefault="00324573" w:rsidP="00154A93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manželského stavu, rodinného stavu a tehotenstva v pracovnoprávnych vzťahoch.</w:t>
      </w:r>
    </w:p>
    <w:p w14:paraId="6964089F" w14:textId="3DABA4F6" w:rsidR="00AF5B49" w:rsidRDefault="00AF5B49" w:rsidP="00AF5B49">
      <w:pPr>
        <w:pStyle w:val="Zkladntext"/>
        <w:jc w:val="both"/>
        <w:rPr>
          <w:b w:val="0"/>
          <w:bCs w:val="0"/>
          <w:color w:val="1F497D"/>
          <w:sz w:val="24"/>
        </w:rPr>
      </w:pPr>
    </w:p>
    <w:p w14:paraId="71E93786" w14:textId="21FD10F3" w:rsidR="00F069EF" w:rsidRPr="00F069EF" w:rsidRDefault="00A8590B" w:rsidP="00F069EF">
      <w:pPr>
        <w:pStyle w:val="Zkladntext"/>
        <w:numPr>
          <w:ilvl w:val="0"/>
          <w:numId w:val="6"/>
        </w:numPr>
        <w:jc w:val="both"/>
        <w:rPr>
          <w:caps/>
          <w:color w:val="000000" w:themeColor="text1"/>
          <w:sz w:val="28"/>
          <w:szCs w:val="28"/>
        </w:rPr>
      </w:pPr>
      <w:r>
        <w:rPr>
          <w:caps/>
          <w:sz w:val="28"/>
          <w:szCs w:val="28"/>
        </w:rPr>
        <w:t xml:space="preserve">konzultácia: </w:t>
      </w:r>
      <w:r w:rsidR="00634011">
        <w:rPr>
          <w:caps/>
          <w:color w:val="000000" w:themeColor="text1"/>
          <w:sz w:val="28"/>
          <w:szCs w:val="28"/>
        </w:rPr>
        <w:t>09</w:t>
      </w:r>
      <w:r>
        <w:rPr>
          <w:caps/>
          <w:color w:val="000000" w:themeColor="text1"/>
          <w:sz w:val="28"/>
          <w:szCs w:val="28"/>
        </w:rPr>
        <w:t>. 11. 202</w:t>
      </w:r>
      <w:r w:rsidR="00634011">
        <w:rPr>
          <w:caps/>
          <w:color w:val="000000" w:themeColor="text1"/>
          <w:sz w:val="28"/>
          <w:szCs w:val="28"/>
        </w:rPr>
        <w:t>4</w:t>
      </w:r>
      <w:r>
        <w:rPr>
          <w:caps/>
          <w:color w:val="000000" w:themeColor="text1"/>
          <w:sz w:val="28"/>
          <w:szCs w:val="28"/>
        </w:rPr>
        <w:t xml:space="preserve">, </w:t>
      </w:r>
      <w:r w:rsidR="00F069EF">
        <w:rPr>
          <w:caps/>
          <w:color w:val="000000" w:themeColor="text1"/>
          <w:sz w:val="28"/>
          <w:szCs w:val="28"/>
        </w:rPr>
        <w:t>1</w:t>
      </w:r>
      <w:r w:rsidR="00634011">
        <w:rPr>
          <w:caps/>
          <w:color w:val="000000" w:themeColor="text1"/>
          <w:sz w:val="28"/>
          <w:szCs w:val="28"/>
        </w:rPr>
        <w:t>4</w:t>
      </w:r>
      <w:r w:rsidR="00F069EF">
        <w:rPr>
          <w:caps/>
          <w:color w:val="000000" w:themeColor="text1"/>
          <w:sz w:val="28"/>
          <w:szCs w:val="28"/>
        </w:rPr>
        <w:t>:</w:t>
      </w:r>
      <w:r w:rsidR="00634011">
        <w:rPr>
          <w:caps/>
          <w:color w:val="000000" w:themeColor="text1"/>
          <w:sz w:val="28"/>
          <w:szCs w:val="28"/>
        </w:rPr>
        <w:t>25</w:t>
      </w:r>
      <w:r w:rsidR="00F069EF" w:rsidRPr="00001D92">
        <w:rPr>
          <w:caps/>
          <w:color w:val="000000" w:themeColor="text1"/>
          <w:sz w:val="28"/>
          <w:szCs w:val="28"/>
        </w:rPr>
        <w:t xml:space="preserve"> –</w:t>
      </w:r>
      <w:r w:rsidR="00F069EF">
        <w:rPr>
          <w:caps/>
          <w:color w:val="000000" w:themeColor="text1"/>
          <w:sz w:val="28"/>
          <w:szCs w:val="28"/>
        </w:rPr>
        <w:t xml:space="preserve"> 1</w:t>
      </w:r>
      <w:r w:rsidR="00634011">
        <w:rPr>
          <w:caps/>
          <w:color w:val="000000" w:themeColor="text1"/>
          <w:sz w:val="28"/>
          <w:szCs w:val="28"/>
        </w:rPr>
        <w:t>5</w:t>
      </w:r>
      <w:r w:rsidR="00F069EF" w:rsidRPr="00001D92">
        <w:rPr>
          <w:caps/>
          <w:color w:val="000000" w:themeColor="text1"/>
          <w:sz w:val="28"/>
          <w:szCs w:val="28"/>
        </w:rPr>
        <w:t>:</w:t>
      </w:r>
      <w:r w:rsidR="00634011">
        <w:rPr>
          <w:caps/>
          <w:color w:val="000000" w:themeColor="text1"/>
          <w:sz w:val="28"/>
          <w:szCs w:val="28"/>
        </w:rPr>
        <w:t>55</w:t>
      </w:r>
      <w:r w:rsidR="00F069EF" w:rsidRPr="00001D92">
        <w:rPr>
          <w:caps/>
          <w:color w:val="000000" w:themeColor="text1"/>
          <w:sz w:val="28"/>
          <w:szCs w:val="28"/>
        </w:rPr>
        <w:t xml:space="preserve"> </w:t>
      </w:r>
      <w:r w:rsidR="00F069EF" w:rsidRPr="00001D92">
        <w:rPr>
          <w:color w:val="000000" w:themeColor="text1"/>
          <w:sz w:val="28"/>
          <w:szCs w:val="28"/>
        </w:rPr>
        <w:t>hod.</w:t>
      </w:r>
      <w:r w:rsidR="00377030">
        <w:rPr>
          <w:color w:val="000000" w:themeColor="text1"/>
          <w:sz w:val="28"/>
          <w:szCs w:val="28"/>
        </w:rPr>
        <w:t xml:space="preserve">, </w:t>
      </w:r>
      <w:r w:rsidR="00634011" w:rsidRPr="00377030">
        <w:rPr>
          <w:sz w:val="28"/>
          <w:szCs w:val="28"/>
        </w:rPr>
        <w:t>L</w:t>
      </w:r>
      <w:r w:rsidR="00634011">
        <w:rPr>
          <w:sz w:val="28"/>
          <w:szCs w:val="28"/>
        </w:rPr>
        <w:t>B2P</w:t>
      </w:r>
      <w:r w:rsidR="00EC6C65">
        <w:rPr>
          <w:sz w:val="28"/>
          <w:szCs w:val="28"/>
        </w:rPr>
        <w:t>13</w:t>
      </w:r>
    </w:p>
    <w:p w14:paraId="7C34A4E4" w14:textId="0AB6F873" w:rsidR="00A8590B" w:rsidRPr="00F069EF" w:rsidRDefault="00A8590B" w:rsidP="00F069EF">
      <w:pPr>
        <w:pStyle w:val="Zkladntext"/>
        <w:ind w:left="720"/>
        <w:jc w:val="both"/>
        <w:rPr>
          <w:caps/>
          <w:color w:val="000000" w:themeColor="text1"/>
          <w:sz w:val="28"/>
          <w:szCs w:val="28"/>
        </w:rPr>
      </w:pPr>
      <w:r w:rsidRPr="00F069EF">
        <w:rPr>
          <w:sz w:val="28"/>
          <w:szCs w:val="28"/>
        </w:rPr>
        <w:t xml:space="preserve">vyučujúci: Mgr. </w:t>
      </w:r>
      <w:r w:rsidR="0092774F">
        <w:rPr>
          <w:sz w:val="28"/>
          <w:szCs w:val="28"/>
        </w:rPr>
        <w:t>Katarína Fenciková</w:t>
      </w:r>
      <w:r w:rsidRPr="00F069EF">
        <w:rPr>
          <w:sz w:val="28"/>
          <w:szCs w:val="28"/>
        </w:rPr>
        <w:t>, PhD.</w:t>
      </w:r>
    </w:p>
    <w:p w14:paraId="0AA6A9FB" w14:textId="377C6327" w:rsidR="00A8590B" w:rsidRPr="00FA78D4" w:rsidRDefault="00324573" w:rsidP="00324573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rasy, etnickej príslušnosti, náboženstva a viery v pracovnoprávnych vzťahoch.</w:t>
      </w:r>
    </w:p>
    <w:p w14:paraId="36D3AC12" w14:textId="70FC3271" w:rsidR="00A8590B" w:rsidRPr="00FA78D4" w:rsidRDefault="00324573" w:rsidP="00324573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veku, politického a iného zmýšľania, sociálneho pôvodu, rodu, majetku a iného postavenia v pracovnoprávnych vzťahoch.</w:t>
      </w:r>
      <w:r w:rsidR="00A8590B" w:rsidRPr="00FA78D4">
        <w:rPr>
          <w:b w:val="0"/>
          <w:sz w:val="22"/>
          <w:szCs w:val="22"/>
        </w:rPr>
        <w:tab/>
      </w:r>
      <w:r w:rsidR="00A8590B" w:rsidRPr="00FA78D4">
        <w:rPr>
          <w:b w:val="0"/>
          <w:sz w:val="22"/>
          <w:szCs w:val="22"/>
        </w:rPr>
        <w:tab/>
      </w:r>
      <w:r w:rsidR="00A8590B" w:rsidRPr="00FA78D4">
        <w:rPr>
          <w:b w:val="0"/>
          <w:sz w:val="22"/>
          <w:szCs w:val="22"/>
        </w:rPr>
        <w:tab/>
      </w:r>
    </w:p>
    <w:p w14:paraId="242D8F94" w14:textId="7AC14BAA" w:rsidR="00154A93" w:rsidRPr="00167881" w:rsidRDefault="00324573" w:rsidP="00154A93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r w:rsidRPr="00FA78D4">
        <w:rPr>
          <w:b w:val="0"/>
          <w:sz w:val="22"/>
          <w:szCs w:val="22"/>
        </w:rPr>
        <w:t>Zákaz diskriminácie na základe zdravotného postihnutia v pracovnoprávnych vzťahoch.</w:t>
      </w:r>
    </w:p>
    <w:p w14:paraId="2279CD50" w14:textId="4DF2971A" w:rsidR="00A8590B" w:rsidRPr="00A20D6F" w:rsidRDefault="00A8590B" w:rsidP="00A8590B">
      <w:pPr>
        <w:pStyle w:val="Zkladntext"/>
        <w:ind w:left="1069"/>
        <w:jc w:val="both"/>
        <w:rPr>
          <w:bCs w:val="0"/>
          <w:color w:val="000000"/>
          <w:sz w:val="20"/>
          <w:szCs w:val="20"/>
        </w:rPr>
      </w:pPr>
      <w:r w:rsidRPr="00A20D6F">
        <w:rPr>
          <w:b w:val="0"/>
          <w:bCs w:val="0"/>
          <w:color w:val="000000"/>
          <w:sz w:val="20"/>
          <w:szCs w:val="20"/>
        </w:rPr>
        <w:tab/>
      </w:r>
    </w:p>
    <w:p w14:paraId="38529868" w14:textId="68A8609E" w:rsidR="00F069EF" w:rsidRDefault="00A8590B" w:rsidP="00F069EF">
      <w:pPr>
        <w:pStyle w:val="Zkladntext"/>
        <w:numPr>
          <w:ilvl w:val="0"/>
          <w:numId w:val="6"/>
        </w:numPr>
        <w:jc w:val="both"/>
        <w:rPr>
          <w:sz w:val="28"/>
          <w:szCs w:val="28"/>
        </w:rPr>
      </w:pPr>
      <w:r w:rsidRPr="00F069EF">
        <w:rPr>
          <w:caps/>
          <w:sz w:val="28"/>
          <w:szCs w:val="28"/>
        </w:rPr>
        <w:t xml:space="preserve">konzultácia: </w:t>
      </w:r>
      <w:r w:rsidR="00634011">
        <w:rPr>
          <w:caps/>
          <w:color w:val="000000" w:themeColor="text1"/>
          <w:sz w:val="28"/>
          <w:szCs w:val="28"/>
        </w:rPr>
        <w:t>30</w:t>
      </w:r>
      <w:r w:rsidRPr="00F069EF">
        <w:rPr>
          <w:caps/>
          <w:color w:val="000000" w:themeColor="text1"/>
          <w:sz w:val="28"/>
          <w:szCs w:val="28"/>
        </w:rPr>
        <w:t>. 1</w:t>
      </w:r>
      <w:r w:rsidR="00634011">
        <w:rPr>
          <w:caps/>
          <w:color w:val="000000" w:themeColor="text1"/>
          <w:sz w:val="28"/>
          <w:szCs w:val="28"/>
        </w:rPr>
        <w:t>1</w:t>
      </w:r>
      <w:r w:rsidRPr="00F069EF">
        <w:rPr>
          <w:caps/>
          <w:color w:val="000000" w:themeColor="text1"/>
          <w:sz w:val="28"/>
          <w:szCs w:val="28"/>
        </w:rPr>
        <w:t>. 202</w:t>
      </w:r>
      <w:r w:rsidR="00634011">
        <w:rPr>
          <w:caps/>
          <w:color w:val="000000" w:themeColor="text1"/>
          <w:sz w:val="28"/>
          <w:szCs w:val="28"/>
        </w:rPr>
        <w:t>4</w:t>
      </w:r>
      <w:r w:rsidRPr="00F069EF">
        <w:rPr>
          <w:caps/>
          <w:color w:val="000000" w:themeColor="text1"/>
          <w:sz w:val="28"/>
          <w:szCs w:val="28"/>
        </w:rPr>
        <w:t xml:space="preserve">, </w:t>
      </w:r>
      <w:r w:rsidR="00EC6C65">
        <w:rPr>
          <w:caps/>
          <w:color w:val="000000" w:themeColor="text1"/>
          <w:sz w:val="28"/>
          <w:szCs w:val="28"/>
        </w:rPr>
        <w:t>17:10</w:t>
      </w:r>
      <w:r w:rsidRPr="00F069EF">
        <w:rPr>
          <w:caps/>
          <w:color w:val="000000" w:themeColor="text1"/>
          <w:sz w:val="28"/>
          <w:szCs w:val="28"/>
        </w:rPr>
        <w:t xml:space="preserve"> – </w:t>
      </w:r>
      <w:r w:rsidR="00F069EF">
        <w:rPr>
          <w:caps/>
          <w:color w:val="000000" w:themeColor="text1"/>
          <w:sz w:val="28"/>
          <w:szCs w:val="28"/>
        </w:rPr>
        <w:t>1</w:t>
      </w:r>
      <w:r w:rsidR="00EC6C65">
        <w:rPr>
          <w:caps/>
          <w:color w:val="000000" w:themeColor="text1"/>
          <w:sz w:val="28"/>
          <w:szCs w:val="28"/>
        </w:rPr>
        <w:t>8</w:t>
      </w:r>
      <w:r w:rsidRPr="00F069EF">
        <w:rPr>
          <w:caps/>
          <w:color w:val="000000" w:themeColor="text1"/>
          <w:sz w:val="28"/>
          <w:szCs w:val="28"/>
        </w:rPr>
        <w:t>:</w:t>
      </w:r>
      <w:r w:rsidR="00EC6C65">
        <w:rPr>
          <w:caps/>
          <w:color w:val="000000" w:themeColor="text1"/>
          <w:sz w:val="28"/>
          <w:szCs w:val="28"/>
        </w:rPr>
        <w:t>40</w:t>
      </w:r>
      <w:r w:rsidRPr="00F069EF">
        <w:rPr>
          <w:caps/>
          <w:color w:val="000000" w:themeColor="text1"/>
          <w:sz w:val="28"/>
          <w:szCs w:val="28"/>
        </w:rPr>
        <w:t xml:space="preserve"> </w:t>
      </w:r>
      <w:r w:rsidRPr="00F069EF">
        <w:rPr>
          <w:color w:val="000000" w:themeColor="text1"/>
          <w:sz w:val="28"/>
          <w:szCs w:val="28"/>
        </w:rPr>
        <w:t>hod.</w:t>
      </w:r>
      <w:r w:rsidR="00377030">
        <w:rPr>
          <w:color w:val="000000" w:themeColor="text1"/>
          <w:sz w:val="28"/>
          <w:szCs w:val="28"/>
        </w:rPr>
        <w:t xml:space="preserve">, </w:t>
      </w:r>
      <w:r w:rsidR="00634011" w:rsidRPr="00377030">
        <w:rPr>
          <w:sz w:val="28"/>
          <w:szCs w:val="28"/>
        </w:rPr>
        <w:t>L</w:t>
      </w:r>
      <w:r w:rsidR="00634011">
        <w:rPr>
          <w:sz w:val="28"/>
          <w:szCs w:val="28"/>
        </w:rPr>
        <w:t>B2P</w:t>
      </w:r>
      <w:r w:rsidR="00EC6C65">
        <w:rPr>
          <w:sz w:val="28"/>
          <w:szCs w:val="28"/>
        </w:rPr>
        <w:t>13</w:t>
      </w:r>
    </w:p>
    <w:p w14:paraId="0FD2522F" w14:textId="411DF3CC" w:rsidR="00A8590B" w:rsidRPr="00F069EF" w:rsidRDefault="00A8590B" w:rsidP="00F069EF">
      <w:pPr>
        <w:pStyle w:val="Zkladntext"/>
        <w:spacing w:after="240"/>
        <w:ind w:left="720"/>
        <w:jc w:val="both"/>
        <w:rPr>
          <w:sz w:val="28"/>
          <w:szCs w:val="28"/>
        </w:rPr>
      </w:pPr>
      <w:r w:rsidRPr="00F069EF">
        <w:rPr>
          <w:sz w:val="28"/>
          <w:szCs w:val="28"/>
        </w:rPr>
        <w:t xml:space="preserve">vyučujúci: Mgr. Ivan </w:t>
      </w:r>
      <w:proofErr w:type="spellStart"/>
      <w:r w:rsidRPr="00F069EF">
        <w:rPr>
          <w:sz w:val="28"/>
          <w:szCs w:val="28"/>
        </w:rPr>
        <w:t>Kundrát</w:t>
      </w:r>
      <w:proofErr w:type="spellEnd"/>
      <w:r w:rsidRPr="00F069EF">
        <w:rPr>
          <w:sz w:val="28"/>
          <w:szCs w:val="28"/>
        </w:rPr>
        <w:t>, PhD.</w:t>
      </w:r>
    </w:p>
    <w:p w14:paraId="12A79C7C" w14:textId="3A1072F0" w:rsidR="00A8590B" w:rsidRPr="00FA78D4" w:rsidRDefault="00FA78D4" w:rsidP="00A8590B">
      <w:pPr>
        <w:pStyle w:val="Zkladntext"/>
        <w:numPr>
          <w:ilvl w:val="0"/>
          <w:numId w:val="9"/>
        </w:numPr>
        <w:jc w:val="both"/>
        <w:rPr>
          <w:b w:val="0"/>
          <w:bCs w:val="0"/>
          <w:color w:val="000000"/>
          <w:sz w:val="22"/>
          <w:szCs w:val="22"/>
        </w:rPr>
      </w:pPr>
      <w:r w:rsidRPr="00FA78D4">
        <w:rPr>
          <w:b w:val="0"/>
          <w:bCs w:val="0"/>
          <w:color w:val="000000"/>
          <w:sz w:val="22"/>
          <w:szCs w:val="22"/>
        </w:rPr>
        <w:t>Oslabenie zásady rovnakého zaobchádzania. Dočasné vyrovnávacie opatrenia. Kvóta systém.</w:t>
      </w:r>
    </w:p>
    <w:p w14:paraId="432AF87E" w14:textId="089A2D8E" w:rsidR="00A8590B" w:rsidRPr="00FA78D4" w:rsidRDefault="00FA78D4" w:rsidP="00FA78D4">
      <w:pPr>
        <w:pStyle w:val="Zkladntext"/>
        <w:numPr>
          <w:ilvl w:val="0"/>
          <w:numId w:val="9"/>
        </w:numPr>
        <w:jc w:val="both"/>
        <w:rPr>
          <w:b w:val="0"/>
          <w:bCs w:val="0"/>
          <w:color w:val="000000"/>
          <w:sz w:val="22"/>
          <w:szCs w:val="22"/>
        </w:rPr>
      </w:pPr>
      <w:r w:rsidRPr="00FA78D4">
        <w:rPr>
          <w:b w:val="0"/>
          <w:bCs w:val="0"/>
          <w:color w:val="000000"/>
          <w:sz w:val="22"/>
          <w:szCs w:val="22"/>
        </w:rPr>
        <w:t>Nároky z diskriminačného konania. Náhrada škody a náhrada nemajetkovej ujmy v</w:t>
      </w:r>
      <w:r>
        <w:rPr>
          <w:b w:val="0"/>
          <w:bCs w:val="0"/>
          <w:color w:val="000000"/>
          <w:sz w:val="22"/>
          <w:szCs w:val="22"/>
        </w:rPr>
        <w:t> </w:t>
      </w:r>
      <w:r w:rsidRPr="00FA78D4">
        <w:rPr>
          <w:b w:val="0"/>
          <w:bCs w:val="0"/>
          <w:color w:val="000000"/>
          <w:sz w:val="22"/>
          <w:szCs w:val="22"/>
        </w:rPr>
        <w:t>prípadoch diskriminácie.  Procesný postup v prípade antidiskriminačných žalôb, prípustnosť dôkazov, obrátené dôkazné bremeno.</w:t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  <w:r w:rsidR="00A8590B" w:rsidRPr="00FA78D4">
        <w:rPr>
          <w:b w:val="0"/>
          <w:bCs w:val="0"/>
          <w:color w:val="000000"/>
          <w:sz w:val="22"/>
          <w:szCs w:val="22"/>
        </w:rPr>
        <w:tab/>
      </w:r>
    </w:p>
    <w:p w14:paraId="14C2DA33" w14:textId="77777777" w:rsidR="00FA78D4" w:rsidRPr="00FA78D4" w:rsidRDefault="00FA78D4" w:rsidP="00A8590B">
      <w:pPr>
        <w:pStyle w:val="Zkladntext"/>
        <w:numPr>
          <w:ilvl w:val="0"/>
          <w:numId w:val="9"/>
        </w:numPr>
        <w:jc w:val="both"/>
        <w:rPr>
          <w:b w:val="0"/>
          <w:sz w:val="22"/>
          <w:szCs w:val="22"/>
        </w:rPr>
      </w:pPr>
      <w:proofErr w:type="spellStart"/>
      <w:r w:rsidRPr="00FA78D4">
        <w:rPr>
          <w:b w:val="0"/>
          <w:bCs w:val="0"/>
          <w:color w:val="000000"/>
          <w:sz w:val="22"/>
          <w:szCs w:val="22"/>
        </w:rPr>
        <w:t>Wishtleblowing</w:t>
      </w:r>
      <w:proofErr w:type="spellEnd"/>
      <w:r w:rsidRPr="00FA78D4">
        <w:rPr>
          <w:b w:val="0"/>
          <w:bCs w:val="0"/>
          <w:color w:val="000000"/>
          <w:sz w:val="22"/>
          <w:szCs w:val="22"/>
        </w:rPr>
        <w:t xml:space="preserve">. Ochrana súkromia zamestnanca. </w:t>
      </w:r>
    </w:p>
    <w:p w14:paraId="3C5E4899" w14:textId="77777777" w:rsidR="00A8590B" w:rsidRPr="00CB22B7" w:rsidRDefault="00A8590B" w:rsidP="00764F56">
      <w:pPr>
        <w:pStyle w:val="Zkladntext"/>
        <w:jc w:val="both"/>
        <w:rPr>
          <w:i/>
          <w:iCs/>
          <w:sz w:val="22"/>
          <w:szCs w:val="22"/>
        </w:rPr>
      </w:pPr>
    </w:p>
    <w:p w14:paraId="1308BD1E" w14:textId="77777777" w:rsidR="00167881" w:rsidRDefault="00167881" w:rsidP="00CB22B7">
      <w:pPr>
        <w:pStyle w:val="Zkladntext"/>
        <w:ind w:left="708"/>
        <w:jc w:val="both"/>
        <w:rPr>
          <w:b w:val="0"/>
          <w:bCs w:val="0"/>
          <w:sz w:val="22"/>
          <w:szCs w:val="22"/>
        </w:rPr>
      </w:pPr>
    </w:p>
    <w:p w14:paraId="1168A570" w14:textId="5DF17455" w:rsidR="00CB22B7" w:rsidRPr="00CB22B7" w:rsidRDefault="00CB22B7" w:rsidP="00CB22B7">
      <w:pPr>
        <w:pStyle w:val="Zkladntext"/>
        <w:ind w:left="708"/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 xml:space="preserve">Rozhodovacia činnosť Európskeho súdu pre ľudské práva dostupná na: </w:t>
      </w:r>
      <w:hyperlink r:id="rId10" w:history="1">
        <w:r w:rsidRPr="008A77A9">
          <w:rPr>
            <w:rStyle w:val="Hypertextovprepojenie"/>
            <w:b w:val="0"/>
            <w:bCs w:val="0"/>
            <w:sz w:val="22"/>
            <w:szCs w:val="22"/>
          </w:rPr>
          <w:t>http://hudoc.echr.coe.int/</w:t>
        </w:r>
      </w:hyperlink>
      <w:r w:rsidRPr="00CB22B7">
        <w:rPr>
          <w:b w:val="0"/>
          <w:bCs w:val="0"/>
          <w:sz w:val="22"/>
          <w:szCs w:val="22"/>
        </w:rPr>
        <w:t>.</w:t>
      </w:r>
    </w:p>
    <w:p w14:paraId="769F6FEF" w14:textId="77777777" w:rsidR="00CB22B7" w:rsidRPr="00CB22B7" w:rsidRDefault="00CB22B7" w:rsidP="00CB22B7">
      <w:pPr>
        <w:pStyle w:val="Zkladntext"/>
        <w:ind w:firstLine="708"/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>Rozhodovacia činnosť Súdneho dvora Európskej únie dostupná na:</w:t>
      </w:r>
      <w:r w:rsidRPr="00CB22B7">
        <w:rPr>
          <w:sz w:val="22"/>
          <w:szCs w:val="22"/>
        </w:rPr>
        <w:t xml:space="preserve"> </w:t>
      </w:r>
      <w:hyperlink r:id="rId11" w:history="1">
        <w:r w:rsidRPr="00CB22B7">
          <w:rPr>
            <w:rStyle w:val="Hypertextovprepojenie"/>
            <w:b w:val="0"/>
            <w:bCs w:val="0"/>
            <w:sz w:val="22"/>
            <w:szCs w:val="22"/>
          </w:rPr>
          <w:t>http://curia.europa.eu/</w:t>
        </w:r>
      </w:hyperlink>
      <w:r w:rsidRPr="00CB22B7">
        <w:rPr>
          <w:b w:val="0"/>
          <w:bCs w:val="0"/>
          <w:sz w:val="22"/>
          <w:szCs w:val="22"/>
        </w:rPr>
        <w:t xml:space="preserve">. </w:t>
      </w:r>
    </w:p>
    <w:p w14:paraId="5D961125" w14:textId="77777777" w:rsidR="00CB22B7" w:rsidRPr="00CB22B7" w:rsidRDefault="00CB22B7" w:rsidP="00CB22B7">
      <w:pPr>
        <w:pStyle w:val="Zkladntext"/>
        <w:ind w:firstLine="708"/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>Rozhodovacia činnosť Ústavného súdu SR dostupná na:</w:t>
      </w:r>
      <w:r w:rsidRPr="00CB22B7">
        <w:rPr>
          <w:sz w:val="22"/>
          <w:szCs w:val="22"/>
        </w:rPr>
        <w:t xml:space="preserve"> </w:t>
      </w:r>
      <w:hyperlink r:id="rId12" w:history="1">
        <w:r w:rsidRPr="00CB22B7">
          <w:rPr>
            <w:rStyle w:val="Hypertextovprepojenie"/>
            <w:b w:val="0"/>
            <w:bCs w:val="0"/>
            <w:sz w:val="22"/>
            <w:szCs w:val="22"/>
          </w:rPr>
          <w:t>https://www.ustavnysud.sk/</w:t>
        </w:r>
      </w:hyperlink>
      <w:r w:rsidRPr="00CB22B7">
        <w:rPr>
          <w:b w:val="0"/>
          <w:bCs w:val="0"/>
          <w:sz w:val="22"/>
          <w:szCs w:val="22"/>
        </w:rPr>
        <w:t>.</w:t>
      </w:r>
    </w:p>
    <w:p w14:paraId="3453E1F5" w14:textId="77777777" w:rsidR="00CB22B7" w:rsidRDefault="00CB22B7" w:rsidP="00154A93">
      <w:pPr>
        <w:pStyle w:val="Zkladntext"/>
        <w:jc w:val="both"/>
        <w:rPr>
          <w:bCs w:val="0"/>
          <w:sz w:val="22"/>
          <w:szCs w:val="22"/>
        </w:rPr>
      </w:pPr>
    </w:p>
    <w:p w14:paraId="203BA4CC" w14:textId="11F9B9A6" w:rsidR="00CB22B7" w:rsidRPr="00CB22B7" w:rsidRDefault="00CB22B7" w:rsidP="00CB22B7">
      <w:pPr>
        <w:pStyle w:val="Zkladntext"/>
        <w:spacing w:after="240"/>
        <w:ind w:firstLine="708"/>
        <w:jc w:val="both"/>
        <w:rPr>
          <w:bCs w:val="0"/>
          <w:sz w:val="22"/>
          <w:szCs w:val="22"/>
        </w:rPr>
      </w:pPr>
      <w:r w:rsidRPr="00CB22B7">
        <w:rPr>
          <w:bCs w:val="0"/>
          <w:sz w:val="22"/>
          <w:szCs w:val="22"/>
        </w:rPr>
        <w:lastRenderedPageBreak/>
        <w:t>Odporúčaná literatúra:</w:t>
      </w:r>
    </w:p>
    <w:p w14:paraId="2B2DDE88" w14:textId="77777777" w:rsidR="00CB22B7" w:rsidRPr="00CB22B7" w:rsidRDefault="00CB22B7" w:rsidP="00CB22B7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>DOLOBÁČ, M. a kol. Vybrané otázky sociálneho práva Európskej únie. Košice: Univerzita Pavla Jozefa Šafárika v Košiciach, 2012. 298 s.</w:t>
      </w:r>
    </w:p>
    <w:p w14:paraId="19BED8A2" w14:textId="77777777" w:rsidR="00CB22B7" w:rsidRPr="00CB22B7" w:rsidRDefault="00CB22B7" w:rsidP="00CB22B7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2"/>
          <w:szCs w:val="22"/>
        </w:rPr>
      </w:pPr>
      <w:r w:rsidRPr="00CB22B7">
        <w:rPr>
          <w:b w:val="0"/>
          <w:bCs w:val="0"/>
          <w:sz w:val="22"/>
          <w:szCs w:val="22"/>
        </w:rPr>
        <w:t xml:space="preserve">BARANCOVÁ, H. Šikana a </w:t>
      </w:r>
      <w:proofErr w:type="spellStart"/>
      <w:r w:rsidRPr="00CB22B7">
        <w:rPr>
          <w:b w:val="0"/>
          <w:bCs w:val="0"/>
          <w:sz w:val="22"/>
          <w:szCs w:val="22"/>
        </w:rPr>
        <w:t>mobing</w:t>
      </w:r>
      <w:proofErr w:type="spellEnd"/>
      <w:r w:rsidRPr="00CB22B7">
        <w:rPr>
          <w:b w:val="0"/>
          <w:bCs w:val="0"/>
          <w:sz w:val="22"/>
          <w:szCs w:val="22"/>
        </w:rPr>
        <w:t xml:space="preserve"> na pracovisku. Právne problémy. Praha: </w:t>
      </w:r>
      <w:proofErr w:type="spellStart"/>
      <w:r w:rsidRPr="00CB22B7">
        <w:rPr>
          <w:b w:val="0"/>
          <w:bCs w:val="0"/>
          <w:sz w:val="22"/>
          <w:szCs w:val="22"/>
        </w:rPr>
        <w:t>Leges</w:t>
      </w:r>
      <w:proofErr w:type="spellEnd"/>
      <w:r w:rsidRPr="00CB22B7">
        <w:rPr>
          <w:b w:val="0"/>
          <w:bCs w:val="0"/>
          <w:sz w:val="22"/>
          <w:szCs w:val="22"/>
        </w:rPr>
        <w:t>, 2014, 224 s.</w:t>
      </w:r>
    </w:p>
    <w:p w14:paraId="49896E6E" w14:textId="2CB9C49F" w:rsidR="00CB22B7" w:rsidRPr="00CB22B7" w:rsidRDefault="0055147F" w:rsidP="00CB22B7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2"/>
          <w:szCs w:val="22"/>
        </w:rPr>
      </w:pPr>
      <w:r w:rsidRPr="0055147F">
        <w:rPr>
          <w:b w:val="0"/>
          <w:bCs w:val="0"/>
          <w:sz w:val="22"/>
          <w:szCs w:val="22"/>
        </w:rPr>
        <w:t xml:space="preserve">BARANCOVÁ, H. a kol. Zákonník práce. Komentár. Tretie vydanie. Bratislava: C. H. </w:t>
      </w:r>
      <w:proofErr w:type="spellStart"/>
      <w:r w:rsidRPr="0055147F">
        <w:rPr>
          <w:b w:val="0"/>
          <w:bCs w:val="0"/>
          <w:sz w:val="22"/>
          <w:szCs w:val="22"/>
        </w:rPr>
        <w:t>Beck</w:t>
      </w:r>
      <w:proofErr w:type="spellEnd"/>
      <w:r w:rsidRPr="0055147F">
        <w:rPr>
          <w:b w:val="0"/>
          <w:bCs w:val="0"/>
          <w:sz w:val="22"/>
          <w:szCs w:val="22"/>
        </w:rPr>
        <w:t>, 2022. 1598 s.</w:t>
      </w:r>
    </w:p>
    <w:p w14:paraId="130BB6F3" w14:textId="77777777" w:rsidR="00EB588B" w:rsidRPr="00CB22B7" w:rsidRDefault="00EB588B" w:rsidP="00EB588B">
      <w:pPr>
        <w:pStyle w:val="Zkladntext"/>
        <w:jc w:val="both"/>
        <w:rPr>
          <w:b w:val="0"/>
          <w:bCs w:val="0"/>
          <w:strike/>
          <w:sz w:val="22"/>
          <w:szCs w:val="22"/>
        </w:rPr>
      </w:pPr>
    </w:p>
    <w:p w14:paraId="29CDED90" w14:textId="77777777" w:rsidR="00EB588B" w:rsidRPr="00CB22B7" w:rsidRDefault="00EB588B" w:rsidP="0021041C">
      <w:pPr>
        <w:jc w:val="both"/>
        <w:rPr>
          <w:strike/>
          <w:sz w:val="22"/>
          <w:szCs w:val="22"/>
        </w:rPr>
      </w:pPr>
    </w:p>
    <w:p w14:paraId="5C1F7910" w14:textId="438BE1D2" w:rsidR="00EB588B" w:rsidRPr="00CB22B7" w:rsidRDefault="00BF1366" w:rsidP="00EB588B">
      <w:pPr>
        <w:jc w:val="both"/>
        <w:rPr>
          <w:sz w:val="22"/>
          <w:szCs w:val="22"/>
        </w:rPr>
      </w:pPr>
      <w:r w:rsidRPr="00CB22B7">
        <w:rPr>
          <w:sz w:val="22"/>
          <w:szCs w:val="22"/>
        </w:rPr>
        <w:t xml:space="preserve">V Košiciach september </w:t>
      </w:r>
      <w:r w:rsidR="00A20D6F" w:rsidRPr="00CB22B7">
        <w:rPr>
          <w:sz w:val="22"/>
          <w:szCs w:val="22"/>
        </w:rPr>
        <w:t>202</w:t>
      </w:r>
      <w:r w:rsidR="00634011">
        <w:rPr>
          <w:sz w:val="22"/>
          <w:szCs w:val="22"/>
        </w:rPr>
        <w:t>4</w:t>
      </w:r>
      <w:r w:rsidR="00EB588B" w:rsidRPr="00CB22B7">
        <w:rPr>
          <w:sz w:val="22"/>
          <w:szCs w:val="22"/>
        </w:rPr>
        <w:tab/>
      </w:r>
      <w:r w:rsidR="00EB588B" w:rsidRPr="00CB22B7">
        <w:rPr>
          <w:sz w:val="22"/>
          <w:szCs w:val="22"/>
        </w:rPr>
        <w:tab/>
      </w:r>
      <w:r w:rsidR="00EB588B" w:rsidRPr="00CB22B7">
        <w:rPr>
          <w:sz w:val="22"/>
          <w:szCs w:val="22"/>
        </w:rPr>
        <w:tab/>
      </w:r>
      <w:r w:rsidR="00EB588B" w:rsidRPr="00CB22B7">
        <w:rPr>
          <w:sz w:val="22"/>
          <w:szCs w:val="22"/>
        </w:rPr>
        <w:tab/>
      </w:r>
      <w:r w:rsidR="00EB588B"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 xml:space="preserve">doc. </w:t>
      </w:r>
      <w:r w:rsidR="00EB588B" w:rsidRPr="00CB22B7">
        <w:rPr>
          <w:sz w:val="22"/>
          <w:szCs w:val="22"/>
        </w:rPr>
        <w:t xml:space="preserve">JUDr. Marcel Dolobáč, PhD. </w:t>
      </w:r>
    </w:p>
    <w:p w14:paraId="3E744D27" w14:textId="6D9F8FBB" w:rsidR="00EB588B" w:rsidRPr="00CB22B7" w:rsidRDefault="00EB588B" w:rsidP="00EB588B">
      <w:pPr>
        <w:ind w:left="708"/>
        <w:jc w:val="both"/>
        <w:rPr>
          <w:sz w:val="22"/>
          <w:szCs w:val="22"/>
        </w:rPr>
      </w:pP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Pr="00CB22B7">
        <w:rPr>
          <w:sz w:val="22"/>
          <w:szCs w:val="22"/>
        </w:rPr>
        <w:tab/>
      </w:r>
      <w:r w:rsidR="00EC5AA8">
        <w:rPr>
          <w:sz w:val="22"/>
          <w:szCs w:val="22"/>
        </w:rPr>
        <w:t xml:space="preserve">    </w:t>
      </w:r>
      <w:r w:rsidRPr="00CB22B7">
        <w:rPr>
          <w:sz w:val="22"/>
          <w:szCs w:val="22"/>
        </w:rPr>
        <w:tab/>
      </w:r>
      <w:r w:rsidR="00EC5AA8">
        <w:rPr>
          <w:sz w:val="22"/>
          <w:szCs w:val="22"/>
        </w:rPr>
        <w:t xml:space="preserve">   </w:t>
      </w:r>
      <w:r w:rsidRPr="00CB22B7">
        <w:rPr>
          <w:sz w:val="22"/>
          <w:szCs w:val="22"/>
        </w:rPr>
        <w:t xml:space="preserve">vedúci katedry </w:t>
      </w:r>
    </w:p>
    <w:p w14:paraId="0EC0B20E" w14:textId="77777777" w:rsidR="00E3244A" w:rsidRPr="002D1680" w:rsidRDefault="00E3244A" w:rsidP="00177304">
      <w:pPr>
        <w:pStyle w:val="Zkladntext"/>
        <w:jc w:val="both"/>
        <w:rPr>
          <w:b w:val="0"/>
          <w:bCs w:val="0"/>
          <w:sz w:val="20"/>
          <w:szCs w:val="20"/>
        </w:rPr>
      </w:pPr>
    </w:p>
    <w:sectPr w:rsidR="00E3244A" w:rsidRPr="002D1680" w:rsidSect="004466A8">
      <w:pgSz w:w="11906" w:h="16838"/>
      <w:pgMar w:top="1417" w:right="1417" w:bottom="89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6EEE7" w14:textId="77777777" w:rsidR="00E8023F" w:rsidRDefault="00E8023F" w:rsidP="00E414AB">
      <w:r>
        <w:separator/>
      </w:r>
    </w:p>
  </w:endnote>
  <w:endnote w:type="continuationSeparator" w:id="0">
    <w:p w14:paraId="2709A0CA" w14:textId="77777777" w:rsidR="00E8023F" w:rsidRDefault="00E8023F" w:rsidP="00E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EFB2" w14:textId="77777777" w:rsidR="00E8023F" w:rsidRDefault="00E8023F" w:rsidP="00E414AB">
      <w:r>
        <w:separator/>
      </w:r>
    </w:p>
  </w:footnote>
  <w:footnote w:type="continuationSeparator" w:id="0">
    <w:p w14:paraId="7C796F57" w14:textId="77777777" w:rsidR="00E8023F" w:rsidRDefault="00E8023F" w:rsidP="00E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673"/>
    <w:multiLevelType w:val="hybridMultilevel"/>
    <w:tmpl w:val="2BA026B6"/>
    <w:lvl w:ilvl="0" w:tplc="6B728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128"/>
    <w:multiLevelType w:val="hybridMultilevel"/>
    <w:tmpl w:val="DDDE41E0"/>
    <w:lvl w:ilvl="0" w:tplc="7C04444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4B423D"/>
    <w:multiLevelType w:val="hybridMultilevel"/>
    <w:tmpl w:val="282ED3B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10DD"/>
    <w:multiLevelType w:val="hybridMultilevel"/>
    <w:tmpl w:val="BF3CD3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93166"/>
    <w:multiLevelType w:val="hybridMultilevel"/>
    <w:tmpl w:val="623CF5E0"/>
    <w:lvl w:ilvl="0" w:tplc="47E22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57F86"/>
    <w:multiLevelType w:val="hybridMultilevel"/>
    <w:tmpl w:val="F53C9FA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933754"/>
    <w:multiLevelType w:val="hybridMultilevel"/>
    <w:tmpl w:val="A7308D3C"/>
    <w:lvl w:ilvl="0" w:tplc="D65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94694"/>
    <w:multiLevelType w:val="hybridMultilevel"/>
    <w:tmpl w:val="578A99A6"/>
    <w:lvl w:ilvl="0" w:tplc="0CAEEEE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6426948"/>
    <w:multiLevelType w:val="hybridMultilevel"/>
    <w:tmpl w:val="5616E52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F7931"/>
    <w:multiLevelType w:val="hybridMultilevel"/>
    <w:tmpl w:val="3F18D534"/>
    <w:lvl w:ilvl="0" w:tplc="7C044448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BDD00AD"/>
    <w:multiLevelType w:val="hybridMultilevel"/>
    <w:tmpl w:val="AB4C07C4"/>
    <w:lvl w:ilvl="0" w:tplc="9C6C4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860AC0"/>
    <w:multiLevelType w:val="hybridMultilevel"/>
    <w:tmpl w:val="BF3CD3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E40F6"/>
    <w:multiLevelType w:val="hybridMultilevel"/>
    <w:tmpl w:val="603671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C0A32"/>
    <w:multiLevelType w:val="hybridMultilevel"/>
    <w:tmpl w:val="A7308D3C"/>
    <w:lvl w:ilvl="0" w:tplc="D654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03705"/>
    <w:multiLevelType w:val="hybridMultilevel"/>
    <w:tmpl w:val="FCBA017E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E10D3D"/>
    <w:multiLevelType w:val="hybridMultilevel"/>
    <w:tmpl w:val="C51672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2C2633"/>
    <w:multiLevelType w:val="hybridMultilevel"/>
    <w:tmpl w:val="398E67EC"/>
    <w:lvl w:ilvl="0" w:tplc="AA0CFF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55229480">
    <w:abstractNumId w:val="6"/>
  </w:num>
  <w:num w:numId="2" w16cid:durableId="1660813526">
    <w:abstractNumId w:val="3"/>
  </w:num>
  <w:num w:numId="3" w16cid:durableId="683869102">
    <w:abstractNumId w:val="16"/>
  </w:num>
  <w:num w:numId="4" w16cid:durableId="416829008">
    <w:abstractNumId w:val="11"/>
  </w:num>
  <w:num w:numId="5" w16cid:durableId="2028601740">
    <w:abstractNumId w:val="0"/>
  </w:num>
  <w:num w:numId="6" w16cid:durableId="18505955">
    <w:abstractNumId w:val="4"/>
  </w:num>
  <w:num w:numId="7" w16cid:durableId="908613930">
    <w:abstractNumId w:val="10"/>
  </w:num>
  <w:num w:numId="8" w16cid:durableId="2034914694">
    <w:abstractNumId w:val="1"/>
  </w:num>
  <w:num w:numId="9" w16cid:durableId="959726304">
    <w:abstractNumId w:val="7"/>
  </w:num>
  <w:num w:numId="10" w16cid:durableId="1449662800">
    <w:abstractNumId w:val="9"/>
  </w:num>
  <w:num w:numId="11" w16cid:durableId="1235894753">
    <w:abstractNumId w:val="14"/>
  </w:num>
  <w:num w:numId="12" w16cid:durableId="774711720">
    <w:abstractNumId w:val="13"/>
  </w:num>
  <w:num w:numId="13" w16cid:durableId="1967815566">
    <w:abstractNumId w:val="17"/>
  </w:num>
  <w:num w:numId="14" w16cid:durableId="1403403705">
    <w:abstractNumId w:val="2"/>
  </w:num>
  <w:num w:numId="15" w16cid:durableId="1346856882">
    <w:abstractNumId w:val="8"/>
  </w:num>
  <w:num w:numId="16" w16cid:durableId="1972514387">
    <w:abstractNumId w:val="5"/>
  </w:num>
  <w:num w:numId="17" w16cid:durableId="454448085">
    <w:abstractNumId w:val="12"/>
  </w:num>
  <w:num w:numId="18" w16cid:durableId="4380698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66"/>
    <w:rsid w:val="00001D92"/>
    <w:rsid w:val="00026DC8"/>
    <w:rsid w:val="000438AB"/>
    <w:rsid w:val="00053EEF"/>
    <w:rsid w:val="00076A64"/>
    <w:rsid w:val="000918A6"/>
    <w:rsid w:val="000B558D"/>
    <w:rsid w:val="000D0DAC"/>
    <w:rsid w:val="000D6C09"/>
    <w:rsid w:val="000E354A"/>
    <w:rsid w:val="000E765E"/>
    <w:rsid w:val="00103622"/>
    <w:rsid w:val="0011437A"/>
    <w:rsid w:val="001212D1"/>
    <w:rsid w:val="0014314C"/>
    <w:rsid w:val="00144499"/>
    <w:rsid w:val="001511F0"/>
    <w:rsid w:val="00154A93"/>
    <w:rsid w:val="00167881"/>
    <w:rsid w:val="00177304"/>
    <w:rsid w:val="001B0062"/>
    <w:rsid w:val="001B29E5"/>
    <w:rsid w:val="001C67F7"/>
    <w:rsid w:val="001E535A"/>
    <w:rsid w:val="001E566C"/>
    <w:rsid w:val="001F2B44"/>
    <w:rsid w:val="0021041C"/>
    <w:rsid w:val="002152AE"/>
    <w:rsid w:val="00225E77"/>
    <w:rsid w:val="00253C09"/>
    <w:rsid w:val="002700CC"/>
    <w:rsid w:val="002910DB"/>
    <w:rsid w:val="00291B5B"/>
    <w:rsid w:val="002B6E47"/>
    <w:rsid w:val="002D1680"/>
    <w:rsid w:val="00302A70"/>
    <w:rsid w:val="00302AFB"/>
    <w:rsid w:val="00302F49"/>
    <w:rsid w:val="00324573"/>
    <w:rsid w:val="003272DC"/>
    <w:rsid w:val="00346E3B"/>
    <w:rsid w:val="00355FA2"/>
    <w:rsid w:val="003733EF"/>
    <w:rsid w:val="00377030"/>
    <w:rsid w:val="003877F4"/>
    <w:rsid w:val="00392416"/>
    <w:rsid w:val="00393877"/>
    <w:rsid w:val="00397940"/>
    <w:rsid w:val="003A1B10"/>
    <w:rsid w:val="003C22C8"/>
    <w:rsid w:val="003D63E5"/>
    <w:rsid w:val="00414949"/>
    <w:rsid w:val="0042570C"/>
    <w:rsid w:val="004466A8"/>
    <w:rsid w:val="00447F85"/>
    <w:rsid w:val="00456BB8"/>
    <w:rsid w:val="00462CEA"/>
    <w:rsid w:val="00464E04"/>
    <w:rsid w:val="00490F52"/>
    <w:rsid w:val="004C5266"/>
    <w:rsid w:val="004D2FCF"/>
    <w:rsid w:val="005215ED"/>
    <w:rsid w:val="0055147F"/>
    <w:rsid w:val="0057247C"/>
    <w:rsid w:val="00575DBA"/>
    <w:rsid w:val="00581598"/>
    <w:rsid w:val="00634011"/>
    <w:rsid w:val="0065724F"/>
    <w:rsid w:val="006B4F6A"/>
    <w:rsid w:val="006C7765"/>
    <w:rsid w:val="006F2CDF"/>
    <w:rsid w:val="0070324E"/>
    <w:rsid w:val="007042C0"/>
    <w:rsid w:val="00741821"/>
    <w:rsid w:val="00743550"/>
    <w:rsid w:val="007506B7"/>
    <w:rsid w:val="00764F56"/>
    <w:rsid w:val="00780984"/>
    <w:rsid w:val="0079346C"/>
    <w:rsid w:val="007C4DE4"/>
    <w:rsid w:val="007C4E60"/>
    <w:rsid w:val="007C7AC9"/>
    <w:rsid w:val="007E55F9"/>
    <w:rsid w:val="007F1B44"/>
    <w:rsid w:val="007F1F77"/>
    <w:rsid w:val="007F2DCC"/>
    <w:rsid w:val="007F6F69"/>
    <w:rsid w:val="00806878"/>
    <w:rsid w:val="00810E82"/>
    <w:rsid w:val="00822FD3"/>
    <w:rsid w:val="008256D2"/>
    <w:rsid w:val="008277B5"/>
    <w:rsid w:val="008505FC"/>
    <w:rsid w:val="00856E72"/>
    <w:rsid w:val="0087596C"/>
    <w:rsid w:val="008D3C30"/>
    <w:rsid w:val="008E402D"/>
    <w:rsid w:val="008F3093"/>
    <w:rsid w:val="009109DD"/>
    <w:rsid w:val="0092774F"/>
    <w:rsid w:val="00935BA9"/>
    <w:rsid w:val="00941717"/>
    <w:rsid w:val="00952B5D"/>
    <w:rsid w:val="00982D7C"/>
    <w:rsid w:val="009A0C15"/>
    <w:rsid w:val="009E1672"/>
    <w:rsid w:val="009E515B"/>
    <w:rsid w:val="009F480E"/>
    <w:rsid w:val="00A01ACC"/>
    <w:rsid w:val="00A13666"/>
    <w:rsid w:val="00A16BA9"/>
    <w:rsid w:val="00A17744"/>
    <w:rsid w:val="00A20D6F"/>
    <w:rsid w:val="00A367A2"/>
    <w:rsid w:val="00A43FC2"/>
    <w:rsid w:val="00A47E84"/>
    <w:rsid w:val="00A54DAB"/>
    <w:rsid w:val="00A57D52"/>
    <w:rsid w:val="00A72DC5"/>
    <w:rsid w:val="00A81FAE"/>
    <w:rsid w:val="00A8590B"/>
    <w:rsid w:val="00AA6CE5"/>
    <w:rsid w:val="00AF5B49"/>
    <w:rsid w:val="00B21DC2"/>
    <w:rsid w:val="00B23D92"/>
    <w:rsid w:val="00B352B0"/>
    <w:rsid w:val="00BA0AAA"/>
    <w:rsid w:val="00BA1A8D"/>
    <w:rsid w:val="00BA2210"/>
    <w:rsid w:val="00BA2AFF"/>
    <w:rsid w:val="00BC6166"/>
    <w:rsid w:val="00BE2C7D"/>
    <w:rsid w:val="00BF1366"/>
    <w:rsid w:val="00C17CE9"/>
    <w:rsid w:val="00C22489"/>
    <w:rsid w:val="00C269B7"/>
    <w:rsid w:val="00C4788B"/>
    <w:rsid w:val="00C53EBA"/>
    <w:rsid w:val="00C766F8"/>
    <w:rsid w:val="00CA0C05"/>
    <w:rsid w:val="00CA251D"/>
    <w:rsid w:val="00CB22B7"/>
    <w:rsid w:val="00CB5F00"/>
    <w:rsid w:val="00CD2044"/>
    <w:rsid w:val="00CD2BE6"/>
    <w:rsid w:val="00CE0599"/>
    <w:rsid w:val="00CE3EFE"/>
    <w:rsid w:val="00D267B8"/>
    <w:rsid w:val="00D51011"/>
    <w:rsid w:val="00D90E85"/>
    <w:rsid w:val="00DA1BD5"/>
    <w:rsid w:val="00DA39DD"/>
    <w:rsid w:val="00DE6291"/>
    <w:rsid w:val="00DE7A91"/>
    <w:rsid w:val="00E3244A"/>
    <w:rsid w:val="00E3670C"/>
    <w:rsid w:val="00E414AB"/>
    <w:rsid w:val="00E62B66"/>
    <w:rsid w:val="00E71B55"/>
    <w:rsid w:val="00E74A25"/>
    <w:rsid w:val="00E8023F"/>
    <w:rsid w:val="00EA68D4"/>
    <w:rsid w:val="00EB588B"/>
    <w:rsid w:val="00EC5AA8"/>
    <w:rsid w:val="00EC6C65"/>
    <w:rsid w:val="00EE092C"/>
    <w:rsid w:val="00EE2E04"/>
    <w:rsid w:val="00F069EF"/>
    <w:rsid w:val="00F354EA"/>
    <w:rsid w:val="00F537C4"/>
    <w:rsid w:val="00F822E8"/>
    <w:rsid w:val="00FA3564"/>
    <w:rsid w:val="00FA78D4"/>
    <w:rsid w:val="00FB4C08"/>
    <w:rsid w:val="00FB70B0"/>
    <w:rsid w:val="00FD1263"/>
    <w:rsid w:val="387B15B9"/>
    <w:rsid w:val="557F8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EC8A"/>
  <w15:docId w15:val="{07688561-FAA2-4FC6-920A-C8D1971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3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13666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13666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13666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13666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rsid w:val="00A136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A13666"/>
    <w:rPr>
      <w:rFonts w:ascii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semiHidden/>
    <w:rsid w:val="00A13666"/>
  </w:style>
  <w:style w:type="paragraph" w:styleId="Textbubliny">
    <w:name w:val="Balloon Text"/>
    <w:basedOn w:val="Normlny"/>
    <w:link w:val="TextbublinyChar"/>
    <w:uiPriority w:val="99"/>
    <w:semiHidden/>
    <w:unhideWhenUsed/>
    <w:rsid w:val="00CE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EFE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7730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0D6F"/>
    <w:pPr>
      <w:ind w:left="708"/>
    </w:pPr>
  </w:style>
  <w:style w:type="character" w:styleId="Nevyrieenzmienka">
    <w:name w:val="Unresolved Mention"/>
    <w:basedOn w:val="Predvolenpsmoodseku"/>
    <w:uiPriority w:val="99"/>
    <w:semiHidden/>
    <w:unhideWhenUsed/>
    <w:rsid w:val="00CB22B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6D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tavnysud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uria.europa.eu/" TargetMode="External"/><Relationship Id="rId5" Type="http://schemas.openxmlformats.org/officeDocument/2006/relationships/styles" Target="styles.xml"/><Relationship Id="rId10" Type="http://schemas.openxmlformats.org/officeDocument/2006/relationships/hyperlink" Target="http://hudoc.echr.coe.i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CAE7A-6687-4D7B-8F0F-210C0612A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F2EE1-B5ED-4212-83B1-36A1657E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29C5F-F2D7-4999-9A6E-64A10C5AB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Univerzita Pavla Jozefa Šafárika v Košiciach, Právnická fakulta</vt:lpstr>
      <vt:lpstr>Katedra pracovného práva a práva sociálneho zabezpečenia</vt:lpstr>
    </vt:vector>
  </TitlesOfParts>
  <Company>Home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creator>Janicova</dc:creator>
  <cp:lastModifiedBy>Natália Kalinák</cp:lastModifiedBy>
  <cp:revision>4</cp:revision>
  <cp:lastPrinted>2021-09-20T09:28:00Z</cp:lastPrinted>
  <dcterms:created xsi:type="dcterms:W3CDTF">2024-09-08T19:55:00Z</dcterms:created>
  <dcterms:modified xsi:type="dcterms:W3CDTF">2024-09-15T12:35:00Z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