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E8E30" w14:textId="77777777" w:rsidR="00E300CB" w:rsidRPr="003E66BD" w:rsidRDefault="009F0CEE" w:rsidP="00E300CB">
      <w:pPr>
        <w:spacing w:after="0" w:line="240" w:lineRule="auto"/>
        <w:rPr>
          <w:rFonts w:asciiTheme="majorHAnsi" w:hAnsiTheme="majorHAnsi"/>
          <w:b/>
          <w:i/>
        </w:rPr>
      </w:pPr>
      <w:r w:rsidRPr="003E66BD">
        <w:rPr>
          <w:rFonts w:asciiTheme="majorHAnsi" w:hAnsiTheme="majorHAnsi"/>
          <w:b/>
          <w:i/>
        </w:rPr>
        <w:t xml:space="preserve">Právnická fakulta UPJŠ v Košiciach </w:t>
      </w:r>
    </w:p>
    <w:p w14:paraId="6731AB77" w14:textId="77777777" w:rsidR="00E300CB" w:rsidRPr="003E66BD" w:rsidRDefault="009F0CEE" w:rsidP="00E300CB">
      <w:pPr>
        <w:spacing w:after="0" w:line="240" w:lineRule="auto"/>
        <w:rPr>
          <w:rFonts w:asciiTheme="majorHAnsi" w:hAnsiTheme="majorHAnsi"/>
          <w:b/>
        </w:rPr>
      </w:pPr>
      <w:r w:rsidRPr="003E66BD">
        <w:rPr>
          <w:rFonts w:asciiTheme="majorHAnsi" w:hAnsiTheme="majorHAnsi"/>
          <w:b/>
          <w:i/>
        </w:rPr>
        <w:t xml:space="preserve">Ústav teórie práva </w:t>
      </w:r>
      <w:proofErr w:type="spellStart"/>
      <w:r w:rsidRPr="003E66BD">
        <w:rPr>
          <w:rFonts w:asciiTheme="majorHAnsi" w:hAnsiTheme="majorHAnsi"/>
          <w:b/>
          <w:i/>
        </w:rPr>
        <w:t>Gustava</w:t>
      </w:r>
      <w:proofErr w:type="spellEnd"/>
      <w:r w:rsidRPr="003E66BD">
        <w:rPr>
          <w:rFonts w:asciiTheme="majorHAnsi" w:hAnsiTheme="majorHAnsi"/>
          <w:b/>
          <w:i/>
        </w:rPr>
        <w:t xml:space="preserve"> </w:t>
      </w:r>
      <w:proofErr w:type="spellStart"/>
      <w:r w:rsidRPr="003E66BD">
        <w:rPr>
          <w:rFonts w:asciiTheme="majorHAnsi" w:hAnsiTheme="majorHAnsi"/>
          <w:b/>
          <w:i/>
        </w:rPr>
        <w:t>Radbrucha</w:t>
      </w:r>
      <w:proofErr w:type="spellEnd"/>
      <w:r w:rsidRPr="003E66BD">
        <w:rPr>
          <w:rFonts w:asciiTheme="majorHAnsi" w:hAnsiTheme="majorHAnsi"/>
          <w:b/>
        </w:rPr>
        <w:t xml:space="preserve"> </w:t>
      </w:r>
    </w:p>
    <w:p w14:paraId="778BE0E0" w14:textId="77777777" w:rsidR="00E300CB" w:rsidRPr="003E66BD" w:rsidRDefault="00E300CB" w:rsidP="00E300CB">
      <w:pPr>
        <w:spacing w:after="0" w:line="240" w:lineRule="auto"/>
        <w:rPr>
          <w:rFonts w:asciiTheme="majorHAnsi" w:hAnsiTheme="majorHAnsi"/>
          <w:b/>
        </w:rPr>
      </w:pPr>
    </w:p>
    <w:p w14:paraId="4C3ED9C0" w14:textId="77777777" w:rsidR="00E300CB" w:rsidRDefault="00E300CB" w:rsidP="00E300CB">
      <w:pPr>
        <w:pBdr>
          <w:top w:val="single" w:sz="4" w:space="1" w:color="auto"/>
        </w:pBdr>
        <w:spacing w:after="0" w:line="240" w:lineRule="auto"/>
      </w:pPr>
    </w:p>
    <w:p w14:paraId="223475A4" w14:textId="77777777" w:rsidR="00E300CB" w:rsidRPr="00E300CB" w:rsidRDefault="009F0CEE" w:rsidP="00E300CB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E300CB">
        <w:rPr>
          <w:rFonts w:asciiTheme="majorHAnsi" w:hAnsiTheme="majorHAnsi"/>
          <w:b/>
          <w:sz w:val="28"/>
          <w:szCs w:val="28"/>
        </w:rPr>
        <w:t xml:space="preserve">Skúšobné otázky na ústnu časť rigoróznej skúšky z predmetu </w:t>
      </w:r>
    </w:p>
    <w:p w14:paraId="5191D4B7" w14:textId="77777777" w:rsidR="009F0CEE" w:rsidRDefault="009F0CEE" w:rsidP="00E300CB">
      <w:pPr>
        <w:pBdr>
          <w:bottom w:val="single" w:sz="4" w:space="1" w:color="auto"/>
        </w:pBdr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E300CB">
        <w:rPr>
          <w:rFonts w:asciiTheme="majorHAnsi" w:hAnsiTheme="majorHAnsi"/>
          <w:b/>
          <w:sz w:val="28"/>
          <w:szCs w:val="28"/>
        </w:rPr>
        <w:t xml:space="preserve">Teória štátu a práva, Právna komparatistika </w:t>
      </w:r>
    </w:p>
    <w:p w14:paraId="629A5CE6" w14:textId="77777777" w:rsidR="00E300CB" w:rsidRPr="00E300CB" w:rsidRDefault="00E300CB" w:rsidP="00E300CB">
      <w:pPr>
        <w:pBdr>
          <w:bottom w:val="single" w:sz="4" w:space="1" w:color="auto"/>
        </w:pBdr>
        <w:spacing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56EADD63" w14:textId="77777777" w:rsidR="00E300CB" w:rsidRDefault="00E300CB" w:rsidP="00E300CB">
      <w:pPr>
        <w:spacing w:after="0" w:line="240" w:lineRule="auto"/>
        <w:jc w:val="center"/>
      </w:pPr>
    </w:p>
    <w:p w14:paraId="0B3C0625" w14:textId="77777777" w:rsidR="003E66BD" w:rsidRDefault="003E66BD" w:rsidP="00E300CB">
      <w:pPr>
        <w:spacing w:after="0" w:line="240" w:lineRule="auto"/>
        <w:jc w:val="center"/>
      </w:pPr>
    </w:p>
    <w:p w14:paraId="18C4717E" w14:textId="77777777" w:rsidR="003E66BD" w:rsidRDefault="003E66BD" w:rsidP="00E300CB">
      <w:pPr>
        <w:spacing w:after="0" w:line="240" w:lineRule="auto"/>
        <w:jc w:val="center"/>
      </w:pPr>
    </w:p>
    <w:p w14:paraId="43429D27" w14:textId="77777777" w:rsidR="00E300CB" w:rsidRPr="003E66BD" w:rsidRDefault="00E300CB" w:rsidP="00E300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3E66BD">
        <w:rPr>
          <w:rFonts w:asciiTheme="majorHAnsi" w:hAnsiTheme="majorHAnsi"/>
          <w:b/>
          <w:sz w:val="24"/>
          <w:szCs w:val="24"/>
        </w:rPr>
        <w:t xml:space="preserve">Teória štátu a práva </w:t>
      </w:r>
    </w:p>
    <w:p w14:paraId="6D93CBB7" w14:textId="77777777" w:rsidR="00E300CB" w:rsidRPr="003E66BD" w:rsidRDefault="00E300CB" w:rsidP="00E300CB">
      <w:pPr>
        <w:spacing w:after="60" w:line="240" w:lineRule="auto"/>
        <w:rPr>
          <w:rFonts w:asciiTheme="majorHAnsi" w:hAnsiTheme="majorHAnsi"/>
        </w:rPr>
      </w:pPr>
    </w:p>
    <w:p w14:paraId="59FB108F" w14:textId="77777777" w:rsidR="00E300CB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Forma vlády - pojem a nedemokratické formy vlády </w:t>
      </w:r>
    </w:p>
    <w:p w14:paraId="0FB71924" w14:textId="77777777" w:rsidR="009F0CEE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Učlenenie štátu </w:t>
      </w:r>
    </w:p>
    <w:p w14:paraId="7E4C2FB9" w14:textId="77777777" w:rsidR="009F0CEE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Demokracia – pojem a formy </w:t>
      </w:r>
    </w:p>
    <w:p w14:paraId="4BCFCE82" w14:textId="77777777" w:rsidR="009F0CEE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Formy priamej demokracie </w:t>
      </w:r>
    </w:p>
    <w:p w14:paraId="7E322644" w14:textId="77777777" w:rsidR="009F0CEE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Voľby a volebné systémy </w:t>
      </w:r>
    </w:p>
    <w:p w14:paraId="64F3051F" w14:textId="77777777" w:rsidR="009F0CEE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Politický systém </w:t>
      </w:r>
    </w:p>
    <w:p w14:paraId="5A18715E" w14:textId="77777777" w:rsidR="009F0CEE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Funkcie práva </w:t>
      </w:r>
    </w:p>
    <w:p w14:paraId="76C20DB2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Právny štát – pojem a modely </w:t>
      </w:r>
    </w:p>
    <w:p w14:paraId="0D944ABF" w14:textId="77777777" w:rsidR="00E300CB" w:rsidRPr="003E66BD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Princípy právneho štátu – záruky základných práva a slobôd, legalita a legitimita, suverenita ľudu </w:t>
      </w:r>
    </w:p>
    <w:p w14:paraId="0D043637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Princípy právneho štátu – deľba moci, zvrchovanosť ústavy a zákona, právna istota </w:t>
      </w:r>
    </w:p>
    <w:p w14:paraId="75A091A0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Pojem a definícia práva </w:t>
      </w:r>
    </w:p>
    <w:p w14:paraId="2BFFA96D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Právo a ostatné normatívne systémy </w:t>
      </w:r>
    </w:p>
    <w:p w14:paraId="0A138FA5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Tvorba práva </w:t>
      </w:r>
    </w:p>
    <w:p w14:paraId="2B7A66A3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Pramene práva </w:t>
      </w:r>
    </w:p>
    <w:p w14:paraId="11C04FD0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Ústava a ústavné zákony </w:t>
      </w:r>
    </w:p>
    <w:p w14:paraId="19C294D0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>Zákon ako prameň práva v európskom type právnej kultúry</w:t>
      </w:r>
    </w:p>
    <w:p w14:paraId="58D3B685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Vykonávacie právne predpisy </w:t>
      </w:r>
    </w:p>
    <w:p w14:paraId="4D0DE6AE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Právne normy – pojem, štruktúra a druhy </w:t>
      </w:r>
    </w:p>
    <w:p w14:paraId="29577D4D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Pôsobnosť právnych noriem </w:t>
      </w:r>
    </w:p>
    <w:p w14:paraId="1C6EAF84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Právne princípy </w:t>
      </w:r>
    </w:p>
    <w:p w14:paraId="5D502BCD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Právne vzťahy </w:t>
      </w:r>
    </w:p>
    <w:p w14:paraId="67AD30EF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Právne skutočnosti </w:t>
      </w:r>
    </w:p>
    <w:p w14:paraId="7A3B3C61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Realizácia práva a aplikácia práva </w:t>
      </w:r>
    </w:p>
    <w:p w14:paraId="4D88433C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Interpretácia práva </w:t>
      </w:r>
    </w:p>
    <w:p w14:paraId="7F882125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Odôvodnenie súdnych rozhodnutí </w:t>
      </w:r>
    </w:p>
    <w:p w14:paraId="246C8C2B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Analógia v práve. Medzery v práve </w:t>
      </w:r>
    </w:p>
    <w:p w14:paraId="734A0DAF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Právna argumentácia </w:t>
      </w:r>
    </w:p>
    <w:p w14:paraId="7AFBD806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Právna zodpovednosť </w:t>
      </w:r>
    </w:p>
    <w:p w14:paraId="2A9B5C49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Zákonnosť a záruky zákonnosti </w:t>
      </w:r>
    </w:p>
    <w:p w14:paraId="25302AF9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Systém práva – pojem a klasifikácia </w:t>
      </w:r>
    </w:p>
    <w:p w14:paraId="43ED4CC0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Vnútroštátne právo, medzinárodné práva a právo Európskej únie </w:t>
      </w:r>
    </w:p>
    <w:p w14:paraId="01A647BB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Hodnoty profesijnej etiky advokáta </w:t>
      </w:r>
    </w:p>
    <w:p w14:paraId="631A8C93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Profesijná etika sudcu (objektívna a subjektívna stránka nestrannosti sudcu) </w:t>
      </w:r>
    </w:p>
    <w:p w14:paraId="0C8FD3B9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Etický výkon funkcie prokurátora v podmienkach Slovenskej republiky </w:t>
      </w:r>
    </w:p>
    <w:p w14:paraId="04BA29DE" w14:textId="77777777" w:rsidR="00E300CB" w:rsidRDefault="009F0CEE" w:rsidP="00E300CB">
      <w:pPr>
        <w:pStyle w:val="Odsekzoznamu"/>
        <w:numPr>
          <w:ilvl w:val="0"/>
          <w:numId w:val="3"/>
        </w:numPr>
        <w:spacing w:after="60" w:line="240" w:lineRule="auto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Prirodzené právo verzus právny pozitivizmus </w:t>
      </w:r>
    </w:p>
    <w:p w14:paraId="74E4CBF6" w14:textId="77777777" w:rsidR="003E66BD" w:rsidRDefault="003E66BD" w:rsidP="003E66BD">
      <w:pPr>
        <w:pStyle w:val="Odsekzoznamu"/>
        <w:spacing w:after="60" w:line="240" w:lineRule="auto"/>
        <w:rPr>
          <w:rFonts w:asciiTheme="majorHAnsi" w:hAnsiTheme="majorHAnsi"/>
        </w:rPr>
      </w:pPr>
    </w:p>
    <w:p w14:paraId="0871A3EB" w14:textId="77777777" w:rsidR="003E66BD" w:rsidRPr="003E66BD" w:rsidRDefault="003E66BD" w:rsidP="003E66BD">
      <w:pPr>
        <w:pStyle w:val="Odsekzoznamu"/>
        <w:spacing w:after="60" w:line="240" w:lineRule="auto"/>
        <w:rPr>
          <w:rFonts w:asciiTheme="majorHAnsi" w:hAnsiTheme="majorHAnsi"/>
        </w:rPr>
      </w:pPr>
      <w:bookmarkStart w:id="0" w:name="_GoBack"/>
      <w:bookmarkEnd w:id="0"/>
    </w:p>
    <w:p w14:paraId="0AAA121E" w14:textId="77777777" w:rsidR="00E300CB" w:rsidRPr="003E66BD" w:rsidRDefault="00E300CB" w:rsidP="00E300CB">
      <w:pPr>
        <w:spacing w:after="60"/>
        <w:rPr>
          <w:rFonts w:asciiTheme="majorHAnsi" w:hAnsiTheme="majorHAnsi"/>
          <w:b/>
          <w:sz w:val="24"/>
          <w:szCs w:val="24"/>
        </w:rPr>
      </w:pPr>
      <w:r w:rsidRPr="003E66BD">
        <w:rPr>
          <w:rFonts w:asciiTheme="majorHAnsi" w:hAnsiTheme="majorHAnsi"/>
          <w:b/>
          <w:sz w:val="24"/>
          <w:szCs w:val="24"/>
        </w:rPr>
        <w:lastRenderedPageBreak/>
        <w:t>Právna komparatistika</w:t>
      </w:r>
    </w:p>
    <w:p w14:paraId="3985AEAA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Vzájomné pôsobenie právnych poriadkov. Procesy konvergencie a divergencie v práve. </w:t>
      </w:r>
    </w:p>
    <w:p w14:paraId="588A7836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Veľké právne systémy. Pojem a charakteristika rozhodujúcich právnych systémov súčasného sveta. </w:t>
      </w:r>
    </w:p>
    <w:p w14:paraId="5332A242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Predmet a metóda porovnávacej právnej vedy </w:t>
      </w:r>
    </w:p>
    <w:p w14:paraId="5887945E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Lex </w:t>
      </w:r>
      <w:proofErr w:type="spellStart"/>
      <w:r w:rsidRPr="003E66BD">
        <w:rPr>
          <w:rFonts w:asciiTheme="majorHAnsi" w:hAnsiTheme="majorHAnsi"/>
        </w:rPr>
        <w:t>non</w:t>
      </w:r>
      <w:proofErr w:type="spellEnd"/>
      <w:r w:rsidRPr="003E66BD">
        <w:rPr>
          <w:rFonts w:asciiTheme="majorHAnsi" w:hAnsiTheme="majorHAnsi"/>
        </w:rPr>
        <w:t xml:space="preserve"> </w:t>
      </w:r>
      <w:proofErr w:type="spellStart"/>
      <w:r w:rsidRPr="003E66BD">
        <w:rPr>
          <w:rFonts w:asciiTheme="majorHAnsi" w:hAnsiTheme="majorHAnsi"/>
        </w:rPr>
        <w:t>scripta</w:t>
      </w:r>
      <w:proofErr w:type="spellEnd"/>
      <w:r w:rsidRPr="003E66BD">
        <w:rPr>
          <w:rFonts w:asciiTheme="majorHAnsi" w:hAnsiTheme="majorHAnsi"/>
        </w:rPr>
        <w:t xml:space="preserve"> - charakteristika a uplatnenie v systémoch kontinentálnej Európy </w:t>
      </w:r>
    </w:p>
    <w:p w14:paraId="6453C48B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Historické prototypy ústav </w:t>
      </w:r>
    </w:p>
    <w:p w14:paraId="7CA805FF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Kontinentálny právny systém – charakteristika a jednotlivé okruhy </w:t>
      </w:r>
    </w:p>
    <w:p w14:paraId="54FB115B" w14:textId="77777777" w:rsidR="003E66BD" w:rsidRPr="003E66BD" w:rsidRDefault="003E66BD" w:rsidP="003E66BD">
      <w:pPr>
        <w:pStyle w:val="Odsekzoznamu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="Times New Roman"/>
          <w:lang w:eastAsia="sk-SK"/>
        </w:rPr>
      </w:pPr>
      <w:r w:rsidRPr="003E66BD">
        <w:rPr>
          <w:rFonts w:asciiTheme="majorHAnsi" w:eastAsia="Times New Roman" w:hAnsiTheme="majorHAnsi" w:cs="Times New Roman"/>
          <w:lang w:eastAsia="sk-SK"/>
        </w:rPr>
        <w:t>Slovenský právny poriadok v kontexte kontinentálnej právnej kultúry – charakteristické znaky, historické východiská a vplyv európskeho práva</w:t>
      </w:r>
    </w:p>
    <w:p w14:paraId="3ED5A481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Systém </w:t>
      </w:r>
      <w:proofErr w:type="spellStart"/>
      <w:r w:rsidRPr="003E66BD">
        <w:rPr>
          <w:rFonts w:asciiTheme="majorHAnsi" w:hAnsiTheme="majorHAnsi"/>
        </w:rPr>
        <w:t>Common</w:t>
      </w:r>
      <w:proofErr w:type="spellEnd"/>
      <w:r w:rsidRPr="003E66BD">
        <w:rPr>
          <w:rFonts w:asciiTheme="majorHAnsi" w:hAnsiTheme="majorHAnsi"/>
        </w:rPr>
        <w:t xml:space="preserve"> </w:t>
      </w:r>
      <w:proofErr w:type="spellStart"/>
      <w:r w:rsidRPr="003E66BD">
        <w:rPr>
          <w:rFonts w:asciiTheme="majorHAnsi" w:hAnsiTheme="majorHAnsi"/>
        </w:rPr>
        <w:t>Law</w:t>
      </w:r>
      <w:proofErr w:type="spellEnd"/>
      <w:r w:rsidRPr="003E66BD">
        <w:rPr>
          <w:rFonts w:asciiTheme="majorHAnsi" w:hAnsiTheme="majorHAnsi"/>
        </w:rPr>
        <w:t xml:space="preserve"> – charakteristika a jednotlivé okruhy </w:t>
      </w:r>
    </w:p>
    <w:p w14:paraId="2514B78A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Súdny precedens ako prameň práva v angloamerickom a kontinentálnom type právnej kultúry </w:t>
      </w:r>
    </w:p>
    <w:p w14:paraId="26D1F855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>Inštitút vlastníctva, trustu, zmluvy a tortu v anglickom práve</w:t>
      </w:r>
    </w:p>
    <w:p w14:paraId="6030AE7E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Právo Spojených štátov amerických </w:t>
      </w:r>
    </w:p>
    <w:p w14:paraId="46A2FAE7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Klasické islamské právo a modernizácia práva </w:t>
      </w:r>
    </w:p>
    <w:p w14:paraId="758055AB" w14:textId="77777777" w:rsidR="009F0CEE" w:rsidRPr="003E66BD" w:rsidRDefault="003E66BD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 w:cs="Arial"/>
          <w:bCs/>
          <w:color w:val="000000"/>
          <w:bdr w:val="none" w:sz="0" w:space="0" w:color="auto" w:frame="1"/>
          <w:shd w:val="clear" w:color="auto" w:fill="FFFFFF"/>
        </w:rPr>
        <w:t>Právne systémy východnej Ázie – tradičné právne kultúry Číny a Japonska </w:t>
      </w:r>
      <w:r w:rsidRPr="003E66BD">
        <w:rPr>
          <w:rFonts w:asciiTheme="majorHAnsi" w:hAnsiTheme="majorHAnsi" w:cs="Arial"/>
          <w:bCs/>
          <w:color w:val="000000"/>
          <w:shd w:val="clear" w:color="auto" w:fill="FFFFFF"/>
        </w:rPr>
        <w:t>a proces ich modernizácie</w:t>
      </w:r>
    </w:p>
    <w:p w14:paraId="57637496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Zmiešané právne systémy </w:t>
      </w:r>
    </w:p>
    <w:p w14:paraId="1D7C74E3" w14:textId="77777777" w:rsidR="009F0CEE" w:rsidRPr="003E66BD" w:rsidRDefault="009F0CEE" w:rsidP="003E66BD">
      <w:pPr>
        <w:pStyle w:val="Odsekzoznamu"/>
        <w:numPr>
          <w:ilvl w:val="0"/>
          <w:numId w:val="3"/>
        </w:numPr>
        <w:spacing w:after="6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Právo Európskej únie </w:t>
      </w:r>
    </w:p>
    <w:p w14:paraId="4A9CEC80" w14:textId="77777777" w:rsidR="009F0CEE" w:rsidRDefault="009F0CEE"/>
    <w:p w14:paraId="0129C1A5" w14:textId="77777777" w:rsidR="003E66BD" w:rsidRPr="00E300CB" w:rsidRDefault="003E66BD"/>
    <w:p w14:paraId="39F693EF" w14:textId="77777777" w:rsidR="00E300CB" w:rsidRPr="003E66BD" w:rsidRDefault="009F0CEE" w:rsidP="003E66BD">
      <w:pPr>
        <w:spacing w:after="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prof. JUDr. Gabriela </w:t>
      </w:r>
      <w:proofErr w:type="spellStart"/>
      <w:r w:rsidRPr="003E66BD">
        <w:rPr>
          <w:rFonts w:asciiTheme="majorHAnsi" w:hAnsiTheme="majorHAnsi"/>
        </w:rPr>
        <w:t>Dobrovičová</w:t>
      </w:r>
      <w:proofErr w:type="spellEnd"/>
      <w:r w:rsidRPr="003E66BD">
        <w:rPr>
          <w:rFonts w:asciiTheme="majorHAnsi" w:hAnsiTheme="majorHAnsi"/>
        </w:rPr>
        <w:t>, CSc.,</w:t>
      </w:r>
      <w:r w:rsidR="00E300CB" w:rsidRPr="003E66BD">
        <w:rPr>
          <w:rFonts w:asciiTheme="majorHAnsi" w:hAnsiTheme="majorHAnsi"/>
        </w:rPr>
        <w:t xml:space="preserve"> </w:t>
      </w:r>
      <w:proofErr w:type="spellStart"/>
      <w:r w:rsidR="00E300CB" w:rsidRPr="003E66BD">
        <w:rPr>
          <w:rFonts w:asciiTheme="majorHAnsi" w:hAnsiTheme="majorHAnsi"/>
        </w:rPr>
        <w:t>v.r</w:t>
      </w:r>
      <w:proofErr w:type="spellEnd"/>
      <w:r w:rsidR="00E300CB" w:rsidRPr="003E66BD">
        <w:rPr>
          <w:rFonts w:asciiTheme="majorHAnsi" w:hAnsiTheme="majorHAnsi"/>
        </w:rPr>
        <w:t xml:space="preserve">.                                    </w:t>
      </w:r>
      <w:r w:rsidR="00E300CB" w:rsidRPr="003E66BD">
        <w:rPr>
          <w:rFonts w:asciiTheme="majorHAnsi" w:hAnsiTheme="majorHAnsi"/>
        </w:rPr>
        <w:t xml:space="preserve">prof. JUDr. Miroslav </w:t>
      </w:r>
      <w:proofErr w:type="spellStart"/>
      <w:r w:rsidR="00E300CB" w:rsidRPr="003E66BD">
        <w:rPr>
          <w:rFonts w:asciiTheme="majorHAnsi" w:hAnsiTheme="majorHAnsi"/>
        </w:rPr>
        <w:t>Štrkolec</w:t>
      </w:r>
      <w:proofErr w:type="spellEnd"/>
      <w:r w:rsidR="00E300CB" w:rsidRPr="003E66BD">
        <w:rPr>
          <w:rFonts w:asciiTheme="majorHAnsi" w:hAnsiTheme="majorHAnsi"/>
        </w:rPr>
        <w:t>, PhD.,</w:t>
      </w:r>
      <w:r w:rsidR="00E300CB" w:rsidRPr="003E66BD">
        <w:rPr>
          <w:rFonts w:asciiTheme="majorHAnsi" w:hAnsiTheme="majorHAnsi"/>
        </w:rPr>
        <w:t xml:space="preserve"> </w:t>
      </w:r>
      <w:proofErr w:type="spellStart"/>
      <w:r w:rsidR="00E300CB" w:rsidRPr="003E66BD">
        <w:rPr>
          <w:rFonts w:asciiTheme="majorHAnsi" w:hAnsiTheme="majorHAnsi"/>
        </w:rPr>
        <w:t>v.r</w:t>
      </w:r>
      <w:proofErr w:type="spellEnd"/>
      <w:r w:rsidR="00E300CB" w:rsidRPr="003E66BD">
        <w:rPr>
          <w:rFonts w:asciiTheme="majorHAnsi" w:hAnsiTheme="majorHAnsi"/>
        </w:rPr>
        <w:t>.</w:t>
      </w:r>
    </w:p>
    <w:p w14:paraId="43960C1F" w14:textId="77777777" w:rsidR="000A4A98" w:rsidRPr="003E66BD" w:rsidRDefault="00E300CB" w:rsidP="003E66BD">
      <w:pPr>
        <w:spacing w:after="0"/>
        <w:rPr>
          <w:rFonts w:asciiTheme="majorHAnsi" w:hAnsiTheme="majorHAnsi"/>
        </w:rPr>
      </w:pPr>
      <w:r w:rsidRPr="003E66BD">
        <w:rPr>
          <w:rFonts w:asciiTheme="majorHAnsi" w:hAnsiTheme="majorHAnsi"/>
        </w:rPr>
        <w:t xml:space="preserve">              </w:t>
      </w:r>
      <w:r w:rsidR="009F0CEE" w:rsidRPr="003E66BD">
        <w:rPr>
          <w:rFonts w:asciiTheme="majorHAnsi" w:hAnsiTheme="majorHAnsi"/>
        </w:rPr>
        <w:t xml:space="preserve">riaditeľka ústavu </w:t>
      </w:r>
      <w:r w:rsidRPr="003E66BD">
        <w:rPr>
          <w:rFonts w:asciiTheme="majorHAnsi" w:hAnsiTheme="majorHAnsi"/>
        </w:rPr>
        <w:t xml:space="preserve">                                                                                                 </w:t>
      </w:r>
      <w:r w:rsidR="009F0CEE" w:rsidRPr="003E66BD">
        <w:rPr>
          <w:rFonts w:asciiTheme="majorHAnsi" w:hAnsiTheme="majorHAnsi"/>
        </w:rPr>
        <w:t>dekan</w:t>
      </w:r>
    </w:p>
    <w:sectPr w:rsidR="000A4A98" w:rsidRPr="003E6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80037"/>
    <w:multiLevelType w:val="hybridMultilevel"/>
    <w:tmpl w:val="1CC03464"/>
    <w:lvl w:ilvl="0" w:tplc="02CA4F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741F42"/>
    <w:multiLevelType w:val="hybridMultilevel"/>
    <w:tmpl w:val="B4628E0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4746A8A"/>
    <w:multiLevelType w:val="hybridMultilevel"/>
    <w:tmpl w:val="F2F8AF42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17E4AD9"/>
    <w:multiLevelType w:val="hybridMultilevel"/>
    <w:tmpl w:val="576097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EE"/>
    <w:rsid w:val="000A4A98"/>
    <w:rsid w:val="003E66BD"/>
    <w:rsid w:val="009F0CEE"/>
    <w:rsid w:val="00E3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33828"/>
  <w15:chartTrackingRefBased/>
  <w15:docId w15:val="{15840336-AB72-4889-8643-F63340F3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30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3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50995BBE4E54458778009C4221F4F3" ma:contentTypeVersion="8" ma:contentTypeDescription="Umožňuje vytvoriť nový dokument." ma:contentTypeScope="" ma:versionID="c776f4ab10d22563c3216ea59946d2ee">
  <xsd:schema xmlns:xsd="http://www.w3.org/2001/XMLSchema" xmlns:xs="http://www.w3.org/2001/XMLSchema" xmlns:p="http://schemas.microsoft.com/office/2006/metadata/properties" xmlns:ns3="001ca1fd-6799-4776-9f04-f0107e345a34" targetNamespace="http://schemas.microsoft.com/office/2006/metadata/properties" ma:root="true" ma:fieldsID="d6dda96c1161554d8617448f8822c2d6" ns3:_="">
    <xsd:import namespace="001ca1fd-6799-4776-9f04-f0107e345a3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ca1fd-6799-4776-9f04-f0107e345a3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95ABC6-2824-4ACB-BA04-0BE2B53DF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ca1fd-6799-4776-9f04-f0107e345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9512DD-ECC3-41B4-9554-D75331F1D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6029D-CD8F-40D5-B088-219AEE6513E1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01ca1fd-6799-4776-9f04-f0107e345a3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Bauerová</dc:creator>
  <cp:keywords/>
  <dc:description/>
  <cp:lastModifiedBy>Andrea Bauerová</cp:lastModifiedBy>
  <cp:revision>1</cp:revision>
  <dcterms:created xsi:type="dcterms:W3CDTF">2026-09-10T10:52:00Z</dcterms:created>
  <dcterms:modified xsi:type="dcterms:W3CDTF">2026-09-10T11:23:00Z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0x0101005650995BBE4E54458778009C4221F4F3</vt:lpwstr>
  </property>
</Properties>
</file>