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2D6095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E32573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INŠTITÚTY VECNÉHO PRÁVA</w:t>
      </w:r>
    </w:p>
    <w:p w:rsidR="001B24EA" w:rsidRPr="001B24EA" w:rsidRDefault="001B24EA" w:rsidP="00413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8F6231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1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2573">
        <w:rPr>
          <w:rFonts w:ascii="Times New Roman" w:hAnsi="Times New Roman" w:cs="Times New Roman"/>
          <w:sz w:val="24"/>
          <w:szCs w:val="24"/>
        </w:rPr>
        <w:t>Úvod do problematiky vecného práva – pojem „vec“, druhy vecí, prírastok, plody, úžitky, držba, vlastníctvo, spôsoby nadobudnutia vlastníctva, vecné práva k cudzej veci.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Staroveké vecné právo: pojmy „vec“ a „vlastníctvo“ v Mezopotámií, Egypte a v Grécku.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Stredoveké vecné právo: šľachtická držba a vlastníctvo v západnej Európe (Franská ríša, Francúzsko, Nemecko, Anglicko), lénne vzťahy.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Stredoveké vecné právo: šľachtická držba a vlastníctvo v strednej a východnej Európe (Byzantská ríša, Rusko, Bulharsko, Poľsko, Čechy, Uhorsko).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Vec, vlastníctvo a držba v mestskom a vrchnostenskom práve.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Novoveké vecné právo: Všeobecné pruské krajinské právo (pojem vlastníctvo, výhradné a míľové právo, </w:t>
      </w:r>
      <w:proofErr w:type="spellStart"/>
      <w:r w:rsidRPr="00E32573">
        <w:rPr>
          <w:rFonts w:ascii="Times New Roman" w:hAnsi="Times New Roman" w:cs="Times New Roman"/>
          <w:sz w:val="24"/>
          <w:szCs w:val="24"/>
        </w:rPr>
        <w:t>fideikomis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>).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Novoveké vecné právo: reformy v Anglicku a Francúzsku (osobné a vecné vlastníctvo, pozemkové vlastníctvo, </w:t>
      </w:r>
      <w:proofErr w:type="spellStart"/>
      <w:r w:rsidRPr="00E32573">
        <w:rPr>
          <w:rFonts w:ascii="Times New Roman" w:hAnsi="Times New Roman" w:cs="Times New Roman"/>
          <w:sz w:val="24"/>
          <w:szCs w:val="24"/>
        </w:rPr>
        <w:t>fideikomis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 xml:space="preserve">, trust). 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573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 xml:space="preserve"> civile – systematika II. časti (o veciach) a III. časti (o spôsoboch nadobudnutia vlastníctva).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Pruské pozemkové reformy v 19. storočí – zmeny a doplnenia Všeobecného krajinského práva.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ABGB – jeho druhá a tretia časť, pozemkové knihy a ich náležitosti.</w:t>
      </w:r>
    </w:p>
    <w:p w:rsidR="00E32573" w:rsidRPr="00E32573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>BGB – III. hlava (veci, pozemky, vlastníctvo)</w:t>
      </w:r>
    </w:p>
    <w:p w:rsidR="001B24EA" w:rsidRPr="004138EC" w:rsidRDefault="00E32573" w:rsidP="00E32573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573">
        <w:rPr>
          <w:rFonts w:ascii="Times New Roman" w:hAnsi="Times New Roman" w:cs="Times New Roman"/>
          <w:sz w:val="24"/>
          <w:szCs w:val="24"/>
        </w:rPr>
        <w:t xml:space="preserve">BGB - II. hlava (služobnosti, </w:t>
      </w:r>
      <w:proofErr w:type="spellStart"/>
      <w:r w:rsidRPr="00E32573">
        <w:rPr>
          <w:rFonts w:ascii="Times New Roman" w:hAnsi="Times New Roman" w:cs="Times New Roman"/>
          <w:sz w:val="24"/>
          <w:szCs w:val="24"/>
        </w:rPr>
        <w:t>usufructus</w:t>
      </w:r>
      <w:proofErr w:type="spellEnd"/>
      <w:r w:rsidRPr="00E32573">
        <w:rPr>
          <w:rFonts w:ascii="Times New Roman" w:hAnsi="Times New Roman" w:cs="Times New Roman"/>
          <w:sz w:val="24"/>
          <w:szCs w:val="24"/>
        </w:rPr>
        <w:t xml:space="preserve">, spôsoby nadobúdania vlastníctva).    </w:t>
      </w:r>
    </w:p>
    <w:sectPr w:rsidR="001B24EA" w:rsidRPr="0041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03137"/>
    <w:multiLevelType w:val="hybridMultilevel"/>
    <w:tmpl w:val="7C402D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66F3"/>
    <w:multiLevelType w:val="hybridMultilevel"/>
    <w:tmpl w:val="18A4C7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67A9F"/>
    <w:multiLevelType w:val="hybridMultilevel"/>
    <w:tmpl w:val="84900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662D5"/>
    <w:multiLevelType w:val="hybridMultilevel"/>
    <w:tmpl w:val="71704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2D6095"/>
    <w:rsid w:val="004138EC"/>
    <w:rsid w:val="008F6231"/>
    <w:rsid w:val="00AB75ED"/>
    <w:rsid w:val="00CD59E3"/>
    <w:rsid w:val="00DB41D0"/>
    <w:rsid w:val="00E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2016-09-14T15:01:00Z</dcterms:created>
  <dcterms:modified xsi:type="dcterms:W3CDTF">2016-09-14T15:01:00Z</dcterms:modified>
</cp:coreProperties>
</file>