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1A" w:rsidRDefault="00BA7249">
      <w:pPr>
        <w:spacing w:after="486" w:line="259" w:lineRule="auto"/>
        <w:ind w:left="2127" w:firstLine="0"/>
      </w:pPr>
      <w:r>
        <w:rPr>
          <w:sz w:val="26"/>
        </w:rPr>
        <w:t>KATEDRA OBČIANSKEHO PRÁVA</w:t>
      </w:r>
    </w:p>
    <w:p w:rsidR="009F4F1A" w:rsidRDefault="00BA7249">
      <w:pPr>
        <w:spacing w:after="358" w:line="259" w:lineRule="auto"/>
        <w:ind w:left="3260" w:firstLine="0"/>
      </w:pPr>
      <w:r>
        <w:rPr>
          <w:noProof/>
        </w:rPr>
        <w:drawing>
          <wp:inline distT="0" distB="0" distL="0" distR="0">
            <wp:extent cx="844410" cy="137173"/>
            <wp:effectExtent l="0" t="0" r="0" b="0"/>
            <wp:docPr id="1527" name="Picture 1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" name="Picture 15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4410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F1A" w:rsidRDefault="00364D1E">
      <w:pPr>
        <w:spacing w:after="547" w:line="216" w:lineRule="auto"/>
        <w:ind w:left="1704" w:right="1167" w:firstLine="0"/>
        <w:jc w:val="center"/>
      </w:pPr>
      <w:r>
        <w:rPr>
          <w:sz w:val="26"/>
        </w:rPr>
        <w:t>na ústnu postupovú skúšku OPH II</w:t>
      </w:r>
      <w:r w:rsidR="00BA7249">
        <w:rPr>
          <w:sz w:val="26"/>
        </w:rPr>
        <w:t>.</w:t>
      </w:r>
      <w:r>
        <w:rPr>
          <w:sz w:val="26"/>
        </w:rPr>
        <w:t xml:space="preserve"> 2.</w:t>
      </w:r>
      <w:r w:rsidR="00BA7249">
        <w:rPr>
          <w:sz w:val="26"/>
        </w:rPr>
        <w:t xml:space="preserve"> ročník letný</w:t>
      </w:r>
      <w:r>
        <w:rPr>
          <w:sz w:val="26"/>
        </w:rPr>
        <w:t xml:space="preserve"> se</w:t>
      </w:r>
      <w:r w:rsidR="00107942">
        <w:rPr>
          <w:sz w:val="26"/>
        </w:rPr>
        <w:t>mester akademického roka 2017/18</w:t>
      </w:r>
    </w:p>
    <w:p w:rsidR="009F4F1A" w:rsidRDefault="00BA7249">
      <w:pPr>
        <w:numPr>
          <w:ilvl w:val="0"/>
          <w:numId w:val="1"/>
        </w:numPr>
        <w:ind w:hanging="360"/>
      </w:pPr>
      <w:r>
        <w:t>Význam plynutia času a počítanie lehôt</w:t>
      </w:r>
    </w:p>
    <w:p w:rsidR="009F4F1A" w:rsidRDefault="00BA7249">
      <w:pPr>
        <w:numPr>
          <w:ilvl w:val="0"/>
          <w:numId w:val="1"/>
        </w:numPr>
        <w:ind w:hanging="360"/>
      </w:pPr>
      <w:r>
        <w:t>Premlčanie v občianskom práve</w:t>
      </w:r>
    </w:p>
    <w:p w:rsidR="009F4F1A" w:rsidRDefault="00BA7249">
      <w:pPr>
        <w:numPr>
          <w:ilvl w:val="0"/>
          <w:numId w:val="1"/>
        </w:numPr>
        <w:ind w:hanging="360"/>
      </w:pPr>
      <w:r>
        <w:t>Preklúzia v občianskom práve</w:t>
      </w:r>
    </w:p>
    <w:p w:rsidR="009F4F1A" w:rsidRDefault="00BA7249">
      <w:pPr>
        <w:numPr>
          <w:ilvl w:val="0"/>
          <w:numId w:val="1"/>
        </w:numPr>
        <w:ind w:hanging="360"/>
      </w:pPr>
      <w:r>
        <w:t>Pojem vecných práv a ich triedenie</w:t>
      </w:r>
    </w:p>
    <w:p w:rsidR="00364D1E" w:rsidRDefault="00BA7249">
      <w:pPr>
        <w:numPr>
          <w:ilvl w:val="0"/>
          <w:numId w:val="1"/>
        </w:numPr>
        <w:ind w:hanging="360"/>
      </w:pPr>
      <w:r>
        <w:t xml:space="preserve">Vlastnícke právo — pojem, funkcia a podstata </w:t>
      </w:r>
    </w:p>
    <w:p w:rsidR="009F4F1A" w:rsidRDefault="00BA7249">
      <w:pPr>
        <w:numPr>
          <w:ilvl w:val="0"/>
          <w:numId w:val="1"/>
        </w:numPr>
        <w:ind w:hanging="360"/>
      </w:pPr>
      <w:r>
        <w:t>Výkon vlastníckeho práva a jeho obmedzenie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Obsah vlastníckeho práva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Držba — všeobecná charakteristika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Pojem a spôsob nadobudnutia vlastníckeho práva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Jednotlivé spôsoby nadobudnutia vlastníckeho práva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Nadobudnutie vlastníckeho práva zmluvou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Nadobudnutie vlastníckeho práva vydržaním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Nadobudnutie vlastníckeho práva vytvorením, spracovaním, prírastkom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Nadobudnutie vlastníckeho práva k veciam strateným, skrytým a opusteným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Nadobudnutie vlastníckeho práva zo zákona, rozhodnutím štátneh</w:t>
      </w:r>
      <w:r w:rsidR="00C60924">
        <w:t>o orgánu a príklepom licitátora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 xml:space="preserve">Ochrana vlastníckeho práva, držby a </w:t>
      </w:r>
      <w:proofErr w:type="spellStart"/>
      <w:r>
        <w:t>detencie</w:t>
      </w:r>
      <w:proofErr w:type="spellEnd"/>
    </w:p>
    <w:p w:rsidR="009F4F1A" w:rsidRDefault="00BA7249">
      <w:pPr>
        <w:numPr>
          <w:ilvl w:val="0"/>
          <w:numId w:val="2"/>
        </w:numPr>
        <w:ind w:left="432" w:hanging="413"/>
      </w:pPr>
      <w:r>
        <w:t>Zánik ( strata ) vlastníckeho práva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Susedské práva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Neoprávnená stavba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 xml:space="preserve">Vlastnícke právo k </w:t>
      </w:r>
      <w:r w:rsidR="00364D1E">
        <w:t>nehnuteľnostiam</w:t>
      </w:r>
      <w:r>
        <w:tab/>
      </w:r>
      <w:r>
        <w:rPr>
          <w:noProof/>
        </w:rPr>
        <w:drawing>
          <wp:inline distT="0" distB="0" distL="0" distR="0">
            <wp:extent cx="6097" cy="3049"/>
            <wp:effectExtent l="0" t="0" r="0" b="0"/>
            <wp:docPr id="1435" name="Picture 1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" name="Picture 14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F1A" w:rsidRDefault="00BA7249">
      <w:pPr>
        <w:numPr>
          <w:ilvl w:val="0"/>
          <w:numId w:val="2"/>
        </w:numPr>
        <w:ind w:left="432" w:hanging="413"/>
      </w:pPr>
      <w:r>
        <w:t>Vklad, záznam a poznámka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Vlastníctvo bytu a nebytového priestoru — všeobecne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Práva a povinnosti vlastníkov bytov a nebytových priestorov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Správa bytov a nebytových priestorov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Nadobúdanie vlastníckeho práva k bytom a nebytovým priestorom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Všeobecná charakteristika spoluvlastníctva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Vznik podielového spoluvlastníctva a jeho obsah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Spôsoby zániku podielového spoluvlastníctva a jeho vysporiadanie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BSM — pojem a vznik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Obsah BSM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 xml:space="preserve">Zánik BSM a jeho </w:t>
      </w:r>
      <w:proofErr w:type="spellStart"/>
      <w:r>
        <w:t>vyporiadanie</w:t>
      </w:r>
      <w:proofErr w:type="spellEnd"/>
    </w:p>
    <w:p w:rsidR="009F4F1A" w:rsidRDefault="00BA7249">
      <w:pPr>
        <w:numPr>
          <w:ilvl w:val="0"/>
          <w:numId w:val="2"/>
        </w:numPr>
        <w:ind w:left="432" w:hanging="413"/>
      </w:pPr>
      <w:r>
        <w:t xml:space="preserve">Zánik BSM a </w:t>
      </w:r>
      <w:proofErr w:type="spellStart"/>
      <w:r>
        <w:t>vyporiadanie</w:t>
      </w:r>
      <w:proofErr w:type="spellEnd"/>
      <w:r>
        <w:t xml:space="preserve"> počas trvania manželstva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 xml:space="preserve">Zánik BSM a </w:t>
      </w:r>
      <w:proofErr w:type="spellStart"/>
      <w:r>
        <w:t>vyporiadanie</w:t>
      </w:r>
      <w:proofErr w:type="spellEnd"/>
      <w:r>
        <w:t xml:space="preserve"> po zániku manželstva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Vecné právo k cudzím veciam — všeobecná charakteristika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Pojem a funkcia záložného práva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lastRenderedPageBreak/>
        <w:t>Zriadenie a vznik záložného práva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Obsahové záležitosti záložnej zmluvy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Práva a povinnosti zo záložného práva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Poradie záložných práv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Výkon záložného práva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Dobrovoľná dražba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Zánik záložného práva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Pojem a obsah vecných bremien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Vznik vecného bremena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Zánik vecného bremena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Pojem a funkcia zádržného práva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Vznik a zánik zádržného práva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Predmet BSM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Pojem, funkcia a systematika záväzkového práva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Hlavné zásady zmluvného záväzkového práva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Vznik záväzkov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Predmet a druhy záväzkov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Obsah záväzkov a spôsoby ich plnenia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Solidárne záväzky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 xml:space="preserve">Delené a </w:t>
      </w:r>
      <w:r w:rsidR="00364D1E">
        <w:t>nedeliteľné</w:t>
      </w:r>
      <w:r>
        <w:t xml:space="preserve"> </w:t>
      </w:r>
      <w:r w:rsidR="00364D1E">
        <w:t>záväzky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Zmluva v prospech tretieho a zmluva o budúcej zmluve</w:t>
      </w:r>
    </w:p>
    <w:p w:rsidR="009F4F1A" w:rsidRDefault="00364D1E">
      <w:pPr>
        <w:ind w:left="24"/>
      </w:pPr>
      <w:r>
        <w:t>57. Spotrebiteľské záväzkovo-právne vzť</w:t>
      </w:r>
      <w:r w:rsidR="00BA7249">
        <w:t>ahy</w:t>
      </w:r>
    </w:p>
    <w:p w:rsidR="009F4F1A" w:rsidRDefault="00364D1E">
      <w:pPr>
        <w:numPr>
          <w:ilvl w:val="0"/>
          <w:numId w:val="3"/>
        </w:numPr>
        <w:ind w:hanging="355"/>
      </w:pPr>
      <w:r>
        <w:t>Zodpovednosť</w:t>
      </w:r>
      <w:r w:rsidR="00BA7249">
        <w:t>' za vady — všeobecne</w:t>
      </w:r>
    </w:p>
    <w:p w:rsidR="009F4F1A" w:rsidRDefault="00BA7249">
      <w:pPr>
        <w:numPr>
          <w:ilvl w:val="0"/>
          <w:numId w:val="3"/>
        </w:numPr>
        <w:ind w:hanging="355"/>
      </w:pPr>
      <w:r>
        <w:t>Zmena v subjektoch záväzkov — všeobecne</w:t>
      </w:r>
    </w:p>
    <w:p w:rsidR="009F4F1A" w:rsidRDefault="00BA7249">
      <w:pPr>
        <w:numPr>
          <w:ilvl w:val="0"/>
          <w:numId w:val="3"/>
        </w:numPr>
        <w:ind w:hanging="355"/>
      </w:pPr>
      <w:r>
        <w:t xml:space="preserve">Postúpenie </w:t>
      </w:r>
      <w:r w:rsidR="00364D1E">
        <w:t>pohľadávky</w:t>
      </w:r>
    </w:p>
    <w:p w:rsidR="009F4F1A" w:rsidRDefault="00BA7249">
      <w:pPr>
        <w:numPr>
          <w:ilvl w:val="0"/>
          <w:numId w:val="3"/>
        </w:numPr>
        <w:ind w:hanging="355"/>
      </w:pPr>
      <w:r>
        <w:t>Prevzatie dlhu a pristúpenie k záväzku</w:t>
      </w:r>
    </w:p>
    <w:p w:rsidR="009F4F1A" w:rsidRDefault="00BA7249">
      <w:pPr>
        <w:numPr>
          <w:ilvl w:val="0"/>
          <w:numId w:val="3"/>
        </w:numPr>
        <w:ind w:hanging="355"/>
      </w:pPr>
      <w:r>
        <w:t xml:space="preserve">Poukážka a poukážka na cenné papiere 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3230" name="Picture 3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0" name="Picture 32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63. Zmena v obsahu záväzkov — všeobecne</w:t>
      </w:r>
    </w:p>
    <w:p w:rsidR="009F4F1A" w:rsidRDefault="00BA7249">
      <w:pPr>
        <w:numPr>
          <w:ilvl w:val="0"/>
          <w:numId w:val="4"/>
        </w:numPr>
        <w:ind w:hanging="360"/>
      </w:pPr>
      <w:r>
        <w:t>Omeškanie dlžníka</w:t>
      </w:r>
    </w:p>
    <w:p w:rsidR="009F4F1A" w:rsidRDefault="00BA7249">
      <w:pPr>
        <w:numPr>
          <w:ilvl w:val="0"/>
          <w:numId w:val="4"/>
        </w:numPr>
        <w:ind w:hanging="360"/>
      </w:pPr>
      <w:r>
        <w:t xml:space="preserve">Omeškanie </w:t>
      </w:r>
      <w:r w:rsidR="00364D1E">
        <w:t>veriteľa</w:t>
      </w:r>
    </w:p>
    <w:p w:rsidR="009F4F1A" w:rsidRDefault="00BA7249">
      <w:pPr>
        <w:numPr>
          <w:ilvl w:val="0"/>
          <w:numId w:val="4"/>
        </w:numPr>
        <w:ind w:hanging="360"/>
      </w:pPr>
      <w:r>
        <w:t>Zabezpečenie záväzkov - všeobecne</w:t>
      </w:r>
    </w:p>
    <w:p w:rsidR="009F4F1A" w:rsidRDefault="00BA7249">
      <w:pPr>
        <w:numPr>
          <w:ilvl w:val="0"/>
          <w:numId w:val="4"/>
        </w:numPr>
        <w:ind w:hanging="360"/>
      </w:pPr>
      <w:r>
        <w:t>Zmluvná pokuta</w:t>
      </w:r>
    </w:p>
    <w:p w:rsidR="009F4F1A" w:rsidRDefault="00BA7249">
      <w:pPr>
        <w:numPr>
          <w:ilvl w:val="0"/>
          <w:numId w:val="4"/>
        </w:numPr>
        <w:ind w:hanging="360"/>
      </w:pPr>
      <w:r>
        <w:t>Ručenie</w:t>
      </w:r>
    </w:p>
    <w:p w:rsidR="009F4F1A" w:rsidRDefault="00BA7249">
      <w:pPr>
        <w:numPr>
          <w:ilvl w:val="0"/>
          <w:numId w:val="4"/>
        </w:numPr>
        <w:ind w:hanging="360"/>
      </w:pPr>
      <w:r>
        <w:t>Dohoda o zrážkach zo mzdy a iných príjmov</w:t>
      </w:r>
    </w:p>
    <w:p w:rsidR="009F4F1A" w:rsidRDefault="00BA7249">
      <w:pPr>
        <w:numPr>
          <w:ilvl w:val="0"/>
          <w:numId w:val="4"/>
        </w:numPr>
        <w:ind w:hanging="360"/>
      </w:pPr>
      <w:r>
        <w:t>Záložná zmluva</w:t>
      </w:r>
    </w:p>
    <w:p w:rsidR="009F4F1A" w:rsidRDefault="00BA7249">
      <w:pPr>
        <w:numPr>
          <w:ilvl w:val="0"/>
          <w:numId w:val="4"/>
        </w:numPr>
        <w:ind w:hanging="360"/>
      </w:pPr>
      <w:r>
        <w:t>Zabezpečenie záväzku prevodom práva</w:t>
      </w:r>
    </w:p>
    <w:p w:rsidR="009F4F1A" w:rsidRDefault="00BA7249">
      <w:pPr>
        <w:numPr>
          <w:ilvl w:val="0"/>
          <w:numId w:val="4"/>
        </w:numPr>
        <w:ind w:hanging="360"/>
      </w:pPr>
      <w:r>
        <w:t xml:space="preserve">Zabezpečenie postúpením </w:t>
      </w:r>
      <w:r w:rsidR="00364D1E">
        <w:t>pohľadávky</w:t>
      </w:r>
    </w:p>
    <w:p w:rsidR="009F4F1A" w:rsidRDefault="00BA7249">
      <w:pPr>
        <w:numPr>
          <w:ilvl w:val="0"/>
          <w:numId w:val="4"/>
        </w:numPr>
        <w:ind w:hanging="360"/>
      </w:pPr>
      <w:r>
        <w:t>Zábezpeka a uznanie dlhu</w:t>
      </w:r>
    </w:p>
    <w:p w:rsidR="009F4F1A" w:rsidRDefault="00BA7249">
      <w:pPr>
        <w:numPr>
          <w:ilvl w:val="0"/>
          <w:numId w:val="4"/>
        </w:numPr>
        <w:ind w:hanging="360"/>
      </w:pPr>
      <w:r>
        <w:t>Zánik záväzkov — všeobecne</w:t>
      </w:r>
    </w:p>
    <w:p w:rsidR="009F4F1A" w:rsidRDefault="00BA7249">
      <w:pPr>
        <w:numPr>
          <w:ilvl w:val="0"/>
          <w:numId w:val="4"/>
        </w:numPr>
        <w:ind w:hanging="360"/>
      </w:pPr>
      <w:r>
        <w:t>Splnenie dlhu</w:t>
      </w:r>
    </w:p>
    <w:p w:rsidR="009F4F1A" w:rsidRDefault="00BA7249">
      <w:pPr>
        <w:numPr>
          <w:ilvl w:val="0"/>
          <w:numId w:val="4"/>
        </w:numPr>
        <w:ind w:hanging="360"/>
      </w:pPr>
      <w:r>
        <w:t>Kompenzácia jednostranným právnym úkonom</w:t>
      </w:r>
    </w:p>
    <w:p w:rsidR="009F4F1A" w:rsidRDefault="00364D1E">
      <w:pPr>
        <w:numPr>
          <w:ilvl w:val="0"/>
          <w:numId w:val="4"/>
        </w:numPr>
        <w:ind w:hanging="360"/>
      </w:pPr>
      <w:r>
        <w:t>Výpoveď</w:t>
      </w:r>
      <w:r w:rsidR="00BA7249">
        <w:t>'</w:t>
      </w:r>
    </w:p>
    <w:p w:rsidR="009F4F1A" w:rsidRDefault="00BA7249">
      <w:pPr>
        <w:numPr>
          <w:ilvl w:val="0"/>
          <w:numId w:val="4"/>
        </w:numPr>
        <w:ind w:hanging="360"/>
      </w:pPr>
      <w:r>
        <w:t>Uloženie do úradnej úschovy</w:t>
      </w:r>
    </w:p>
    <w:p w:rsidR="009F4F1A" w:rsidRDefault="00BA7249">
      <w:pPr>
        <w:numPr>
          <w:ilvl w:val="0"/>
          <w:numId w:val="4"/>
        </w:numPr>
        <w:ind w:hanging="360"/>
      </w:pPr>
      <w:r>
        <w:t>Odstúpenie od zmluvy</w:t>
      </w:r>
    </w:p>
    <w:p w:rsidR="009F4F1A" w:rsidRDefault="00BA7249">
      <w:pPr>
        <w:numPr>
          <w:ilvl w:val="0"/>
          <w:numId w:val="4"/>
        </w:numPr>
        <w:ind w:hanging="360"/>
      </w:pPr>
      <w:r>
        <w:t>Zánik záväzku dohodou o zriadení nového záväzku</w:t>
      </w:r>
    </w:p>
    <w:p w:rsidR="009F4F1A" w:rsidRDefault="00BA7249">
      <w:pPr>
        <w:numPr>
          <w:ilvl w:val="0"/>
          <w:numId w:val="4"/>
        </w:numPr>
        <w:ind w:hanging="360"/>
      </w:pPr>
      <w:r>
        <w:t>Dohoda o urovnaní (pokonávke)</w:t>
      </w:r>
    </w:p>
    <w:p w:rsidR="009F4F1A" w:rsidRDefault="00BA7249">
      <w:pPr>
        <w:numPr>
          <w:ilvl w:val="0"/>
          <w:numId w:val="4"/>
        </w:numPr>
        <w:ind w:hanging="360"/>
      </w:pPr>
      <w:r>
        <w:lastRenderedPageBreak/>
        <w:t>Dohoda o vzdaní sa práva a odpustení dlhu</w:t>
      </w:r>
    </w:p>
    <w:p w:rsidR="009F4F1A" w:rsidRDefault="00BA7249">
      <w:pPr>
        <w:numPr>
          <w:ilvl w:val="0"/>
          <w:numId w:val="4"/>
        </w:numPr>
        <w:ind w:hanging="360"/>
      </w:pPr>
      <w:r>
        <w:t xml:space="preserve">Zánik záväzku </w:t>
      </w:r>
      <w:r w:rsidR="00364D1E">
        <w:t>smrťou</w:t>
      </w:r>
      <w:r>
        <w:t xml:space="preserve"> </w:t>
      </w:r>
      <w:r w:rsidR="00364D1E">
        <w:t>veriteľa</w:t>
      </w:r>
      <w:r>
        <w:t xml:space="preserve"> alebo dlžníka</w:t>
      </w:r>
    </w:p>
    <w:p w:rsidR="009F4F1A" w:rsidRDefault="00BA7249">
      <w:pPr>
        <w:numPr>
          <w:ilvl w:val="0"/>
          <w:numId w:val="4"/>
        </w:numPr>
        <w:ind w:hanging="360"/>
      </w:pPr>
      <w:r>
        <w:t>Zánik záväzku uplynutím času a splynutím</w:t>
      </w:r>
    </w:p>
    <w:p w:rsidR="009F4F1A" w:rsidRDefault="00364D1E">
      <w:pPr>
        <w:numPr>
          <w:ilvl w:val="0"/>
          <w:numId w:val="4"/>
        </w:numPr>
        <w:ind w:hanging="360"/>
      </w:pPr>
      <w:r>
        <w:t>Nemožnosť</w:t>
      </w:r>
      <w:r w:rsidR="00BA7249">
        <w:t>' plnenia</w:t>
      </w:r>
    </w:p>
    <w:p w:rsidR="009F4F1A" w:rsidRDefault="00BA7249">
      <w:pPr>
        <w:numPr>
          <w:ilvl w:val="0"/>
          <w:numId w:val="4"/>
        </w:numPr>
        <w:ind w:hanging="360"/>
      </w:pPr>
      <w:r>
        <w:t>Dohoda o započítaní</w:t>
      </w:r>
    </w:p>
    <w:p w:rsidR="009F4F1A" w:rsidRDefault="00BA7249">
      <w:pPr>
        <w:numPr>
          <w:ilvl w:val="0"/>
          <w:numId w:val="4"/>
        </w:numPr>
        <w:ind w:hanging="360"/>
      </w:pPr>
      <w:r>
        <w:t>Právne a faktické vady</w:t>
      </w:r>
    </w:p>
    <w:p w:rsidR="009F4F1A" w:rsidRDefault="00364D1E">
      <w:pPr>
        <w:numPr>
          <w:ilvl w:val="0"/>
          <w:numId w:val="4"/>
        </w:numPr>
        <w:ind w:hanging="360"/>
      </w:pPr>
      <w:r>
        <w:t>Spotrebiteľská</w:t>
      </w:r>
      <w:r w:rsidR="00BA7249">
        <w:t xml:space="preserve"> zmluva</w:t>
      </w:r>
    </w:p>
    <w:p w:rsidR="009F4F1A" w:rsidRDefault="00364D1E">
      <w:pPr>
        <w:numPr>
          <w:ilvl w:val="0"/>
          <w:numId w:val="4"/>
        </w:numPr>
        <w:ind w:hanging="360"/>
      </w:pPr>
      <w:r>
        <w:t>Neprijateľné</w:t>
      </w:r>
      <w:r w:rsidR="00BA7249">
        <w:t xml:space="preserve"> podmienky v </w:t>
      </w:r>
      <w:r>
        <w:t>spotrebiteľských</w:t>
      </w:r>
      <w:r w:rsidR="00BA7249">
        <w:t xml:space="preserve"> zmluvách</w:t>
      </w:r>
    </w:p>
    <w:p w:rsidR="009F4F1A" w:rsidRDefault="00BA7249">
      <w:pPr>
        <w:numPr>
          <w:ilvl w:val="0"/>
          <w:numId w:val="4"/>
        </w:numPr>
        <w:ind w:hanging="360"/>
      </w:pPr>
      <w:r>
        <w:t>Predpoklady zodpovednosti za vady</w:t>
      </w:r>
    </w:p>
    <w:p w:rsidR="00107942" w:rsidRDefault="00107942">
      <w:pPr>
        <w:numPr>
          <w:ilvl w:val="0"/>
          <w:numId w:val="4"/>
        </w:numPr>
        <w:ind w:hanging="360"/>
      </w:pPr>
      <w:r>
        <w:t>Práva zo zodpovednosti za vady</w:t>
      </w:r>
    </w:p>
    <w:p w:rsidR="00107942" w:rsidRDefault="00107942">
      <w:pPr>
        <w:numPr>
          <w:ilvl w:val="0"/>
          <w:numId w:val="4"/>
        </w:numPr>
        <w:ind w:hanging="360"/>
      </w:pPr>
      <w:r>
        <w:t>Ochrana osobných údajov</w:t>
      </w:r>
    </w:p>
    <w:p w:rsidR="00107942" w:rsidRDefault="00107942" w:rsidP="00107942">
      <w:pPr>
        <w:spacing w:after="115"/>
        <w:ind w:left="19" w:firstLine="0"/>
      </w:pPr>
      <w:bookmarkStart w:id="0" w:name="_GoBack"/>
      <w:bookmarkEnd w:id="0"/>
    </w:p>
    <w:p w:rsidR="00107942" w:rsidRDefault="00107942" w:rsidP="00107942">
      <w:pPr>
        <w:spacing w:after="115"/>
      </w:pPr>
    </w:p>
    <w:sectPr w:rsidR="00107942">
      <w:pgSz w:w="11920" w:h="16840"/>
      <w:pgMar w:top="1317" w:right="2237" w:bottom="2018" w:left="19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6C29"/>
    <w:multiLevelType w:val="hybridMultilevel"/>
    <w:tmpl w:val="4E94D970"/>
    <w:lvl w:ilvl="0" w:tplc="2AC083A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66384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4B3D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E240DC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CC24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200D2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8FED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18BA5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8C2A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DC3CBB"/>
    <w:multiLevelType w:val="hybridMultilevel"/>
    <w:tmpl w:val="3342F67A"/>
    <w:lvl w:ilvl="0" w:tplc="52A877CC">
      <w:start w:val="58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AB94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2C54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41AF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CF2D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8D73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8E066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245A1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4D09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B95A02"/>
    <w:multiLevelType w:val="hybridMultilevel"/>
    <w:tmpl w:val="6B9841A6"/>
    <w:lvl w:ilvl="0" w:tplc="EE642ECE">
      <w:start w:val="64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6E88C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64F0C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A918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CAF79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24DA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4067C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70390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4117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FA3BBF"/>
    <w:multiLevelType w:val="hybridMultilevel"/>
    <w:tmpl w:val="7F88F4B0"/>
    <w:lvl w:ilvl="0" w:tplc="87E2923C">
      <w:start w:val="93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037F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0BED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B2105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BE39A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B692F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0DF2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4EEC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689FA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89415D"/>
    <w:multiLevelType w:val="hybridMultilevel"/>
    <w:tmpl w:val="847CF5FC"/>
    <w:lvl w:ilvl="0" w:tplc="661E0112">
      <w:start w:val="7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E0AF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4A0BE4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1C834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6CB2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0107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A93B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CBB1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706CF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1A"/>
    <w:rsid w:val="00107942"/>
    <w:rsid w:val="001E42E9"/>
    <w:rsid w:val="00364D1E"/>
    <w:rsid w:val="009F4F1A"/>
    <w:rsid w:val="00BA7249"/>
    <w:rsid w:val="00C6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89C0"/>
  <w15:docId w15:val="{9A443438-4792-4BCE-A416-39D55C94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52" w:lineRule="auto"/>
      <w:ind w:left="39" w:hanging="5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</dc:creator>
  <cp:keywords/>
  <cp:lastModifiedBy>Valkova</cp:lastModifiedBy>
  <cp:revision>3</cp:revision>
  <dcterms:created xsi:type="dcterms:W3CDTF">2018-02-27T07:13:00Z</dcterms:created>
  <dcterms:modified xsi:type="dcterms:W3CDTF">2018-02-27T07:15:00Z</dcterms:modified>
</cp:coreProperties>
</file>