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7D40" w14:textId="77777777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Univerzita Pavla Jozefa Šafárika v Košiciach</w:t>
      </w:r>
    </w:p>
    <w:p w14:paraId="0716A472" w14:textId="77777777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Právnická fakulta</w:t>
      </w:r>
    </w:p>
    <w:p w14:paraId="0AAF52A1" w14:textId="77777777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Ústav medzinárodného práva a európskeho práva</w:t>
      </w:r>
    </w:p>
    <w:p w14:paraId="0301A7E1" w14:textId="77777777" w:rsidR="00A55834" w:rsidRPr="00D6377D" w:rsidRDefault="00A55834" w:rsidP="00A55834">
      <w:pPr>
        <w:pBdr>
          <w:top w:val="single" w:sz="4" w:space="1" w:color="auto"/>
        </w:pBd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Témy prednášok z predmetu</w:t>
      </w:r>
    </w:p>
    <w:p w14:paraId="7192054C" w14:textId="77777777" w:rsidR="00A55834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Medzinárodné právo súkromné</w:t>
      </w:r>
    </w:p>
    <w:p w14:paraId="09E222DB" w14:textId="77777777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(UEP/MPS/e/22)</w:t>
      </w:r>
    </w:p>
    <w:p w14:paraId="435FCF4D" w14:textId="77777777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Externé štúdium</w:t>
      </w:r>
    </w:p>
    <w:p w14:paraId="4DA08919" w14:textId="30F9FFD2" w:rsidR="00A55834" w:rsidRPr="00D6377D" w:rsidRDefault="00A55834" w:rsidP="00A55834">
      <w:pPr>
        <w:spacing w:after="60" w:line="276" w:lineRule="auto"/>
        <w:jc w:val="center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v zimnom semestri akademického roka 202</w:t>
      </w:r>
      <w:r w:rsidR="00C91010">
        <w:rPr>
          <w:b/>
          <w:bCs/>
          <w:iCs/>
          <w:sz w:val="22"/>
          <w:szCs w:val="22"/>
        </w:rPr>
        <w:t>5/2026</w:t>
      </w:r>
    </w:p>
    <w:p w14:paraId="22B872E7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</w:p>
    <w:p w14:paraId="191CD433" w14:textId="3F306C8B" w:rsidR="00A55834" w:rsidRPr="00D6377D" w:rsidRDefault="00A55834" w:rsidP="00A55834">
      <w:pPr>
        <w:spacing w:after="60" w:line="276" w:lineRule="auto"/>
        <w:jc w:val="both"/>
        <w:rPr>
          <w:b/>
          <w:bCs/>
          <w:iCs/>
          <w:sz w:val="22"/>
          <w:szCs w:val="22"/>
          <w:u w:val="single"/>
        </w:rPr>
      </w:pPr>
      <w:r w:rsidRPr="00D6377D">
        <w:rPr>
          <w:b/>
          <w:bCs/>
          <w:iCs/>
          <w:sz w:val="22"/>
          <w:szCs w:val="22"/>
          <w:u w:val="single"/>
        </w:rPr>
        <w:t>1. konzultácia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 xml:space="preserve">– </w:t>
      </w:r>
      <w:r w:rsidR="006012EA">
        <w:rPr>
          <w:b/>
          <w:bCs/>
          <w:iCs/>
          <w:sz w:val="22"/>
          <w:szCs w:val="22"/>
          <w:u w:val="single"/>
        </w:rPr>
        <w:t>4</w:t>
      </w:r>
      <w:r w:rsidR="00C91010">
        <w:rPr>
          <w:b/>
          <w:bCs/>
          <w:iCs/>
          <w:sz w:val="22"/>
          <w:szCs w:val="22"/>
          <w:u w:val="single"/>
        </w:rPr>
        <w:t>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10.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2025</w:t>
      </w:r>
    </w:p>
    <w:p w14:paraId="0205588F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Úvod do MPS</w:t>
      </w:r>
    </w:p>
    <w:p w14:paraId="222329FC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 w:rsidRPr="00D6377D">
        <w:rPr>
          <w:sz w:val="22"/>
          <w:szCs w:val="22"/>
        </w:rPr>
        <w:t>Pojem MPS a jeho význam. Súkromnoprávny vzťah s cudzím prvkom.</w:t>
      </w:r>
    </w:p>
    <w:p w14:paraId="3A0E7FB1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Typy metód právnej úpravy, noriem a prameňov MPS</w:t>
      </w:r>
    </w:p>
    <w:p w14:paraId="59457D4B" w14:textId="77777777" w:rsidR="00A55834" w:rsidRPr="00D6377D" w:rsidRDefault="00A55834" w:rsidP="00A55834">
      <w:pPr>
        <w:spacing w:after="60" w:line="276" w:lineRule="auto"/>
        <w:ind w:left="720"/>
        <w:jc w:val="both"/>
        <w:rPr>
          <w:sz w:val="22"/>
          <w:szCs w:val="22"/>
        </w:rPr>
      </w:pPr>
      <w:r w:rsidRPr="00D6377D">
        <w:rPr>
          <w:sz w:val="22"/>
          <w:szCs w:val="22"/>
        </w:rPr>
        <w:t>Metódy právnej úpravy súkromnoprávneho vzťahu s cudzím prvkom (ko</w:t>
      </w:r>
      <w:r w:rsidRPr="00D6377D">
        <w:rPr>
          <w:sz w:val="22"/>
          <w:szCs w:val="22"/>
        </w:rPr>
        <w:softHyphen/>
        <w:t xml:space="preserve">lízna a priama metóda, harmonizácia a unifikácia MPS, europeizácia MPS). Právna povaha kolíznej normy, jej štruktúra a delenie, druhy hraničných </w:t>
      </w:r>
      <w:proofErr w:type="spellStart"/>
      <w:r w:rsidRPr="00D6377D">
        <w:rPr>
          <w:sz w:val="22"/>
          <w:szCs w:val="22"/>
        </w:rPr>
        <w:t>určovateľov</w:t>
      </w:r>
      <w:proofErr w:type="spellEnd"/>
      <w:r w:rsidRPr="00D6377D">
        <w:rPr>
          <w:sz w:val="22"/>
          <w:szCs w:val="22"/>
        </w:rPr>
        <w:t xml:space="preserve"> a ich identifikácia na príkladoch, právna povaha noriem o právomoci, ich štruktúra a identifikácia na príkladoch. Pramene </w:t>
      </w:r>
      <w:proofErr w:type="spellStart"/>
      <w:r w:rsidRPr="00D6377D">
        <w:rPr>
          <w:sz w:val="22"/>
          <w:szCs w:val="22"/>
        </w:rPr>
        <w:t>MPSaP</w:t>
      </w:r>
      <w:proofErr w:type="spellEnd"/>
      <w:r w:rsidRPr="00D6377D">
        <w:rPr>
          <w:sz w:val="22"/>
          <w:szCs w:val="22"/>
        </w:rPr>
        <w:t>, stret medzinárodného, európskeho a vnútroštátneho práva.</w:t>
      </w:r>
    </w:p>
    <w:p w14:paraId="59E497D6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</w:p>
    <w:p w14:paraId="31A1D4AB" w14:textId="6DF64349" w:rsidR="00A55834" w:rsidRPr="00D6377D" w:rsidRDefault="00A55834" w:rsidP="00A55834">
      <w:pPr>
        <w:spacing w:after="60" w:line="276" w:lineRule="auto"/>
        <w:jc w:val="both"/>
        <w:rPr>
          <w:b/>
          <w:bCs/>
          <w:iCs/>
          <w:sz w:val="22"/>
          <w:szCs w:val="22"/>
          <w:u w:val="single"/>
        </w:rPr>
      </w:pPr>
      <w:r w:rsidRPr="00D6377D">
        <w:rPr>
          <w:b/>
          <w:bCs/>
          <w:iCs/>
          <w:sz w:val="22"/>
          <w:szCs w:val="22"/>
          <w:u w:val="single"/>
        </w:rPr>
        <w:t>2. konzultácia</w:t>
      </w:r>
      <w:r w:rsidR="00C91010">
        <w:rPr>
          <w:b/>
          <w:bCs/>
          <w:iCs/>
          <w:sz w:val="22"/>
          <w:szCs w:val="22"/>
          <w:u w:val="single"/>
        </w:rPr>
        <w:t xml:space="preserve"> - </w:t>
      </w:r>
      <w:r w:rsidR="006012EA">
        <w:rPr>
          <w:b/>
          <w:bCs/>
          <w:iCs/>
          <w:sz w:val="22"/>
          <w:szCs w:val="22"/>
          <w:u w:val="single"/>
        </w:rPr>
        <w:t>18</w:t>
      </w:r>
      <w:r w:rsidR="00C91010">
        <w:rPr>
          <w:b/>
          <w:bCs/>
          <w:iCs/>
          <w:sz w:val="22"/>
          <w:szCs w:val="22"/>
          <w:u w:val="single"/>
        </w:rPr>
        <w:t>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10.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2025</w:t>
      </w:r>
    </w:p>
    <w:p w14:paraId="28687B7D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 xml:space="preserve">Určovanie právomoci v občianskych </w:t>
      </w:r>
      <w:r>
        <w:rPr>
          <w:b/>
          <w:bCs/>
          <w:iCs/>
          <w:sz w:val="22"/>
          <w:szCs w:val="22"/>
        </w:rPr>
        <w:t xml:space="preserve">a </w:t>
      </w:r>
      <w:r w:rsidRPr="00D6377D">
        <w:rPr>
          <w:b/>
          <w:bCs/>
          <w:iCs/>
          <w:sz w:val="22"/>
          <w:szCs w:val="22"/>
        </w:rPr>
        <w:t>obchodných veciach</w:t>
      </w:r>
    </w:p>
    <w:p w14:paraId="4B563C4E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sz w:val="22"/>
          <w:szCs w:val="22"/>
        </w:rPr>
        <w:t xml:space="preserve">Systém prameňov a vzťahy medzi nimi. Vylúčenie z právomoci. Predbežné, neodkladné a zabezpečovanie opatrenia. </w:t>
      </w:r>
      <w:r w:rsidRPr="00D6377D">
        <w:rPr>
          <w:bCs/>
          <w:iCs/>
          <w:sz w:val="22"/>
          <w:szCs w:val="22"/>
        </w:rPr>
        <w:t xml:space="preserve">Nariadenie Brusel </w:t>
      </w:r>
      <w:proofErr w:type="spellStart"/>
      <w:r w:rsidRPr="00D6377D">
        <w:rPr>
          <w:bCs/>
          <w:iCs/>
          <w:sz w:val="22"/>
          <w:szCs w:val="22"/>
        </w:rPr>
        <w:t>Ia</w:t>
      </w:r>
      <w:proofErr w:type="spellEnd"/>
      <w:r w:rsidRPr="00D6377D">
        <w:rPr>
          <w:bCs/>
          <w:iCs/>
          <w:sz w:val="22"/>
          <w:szCs w:val="22"/>
        </w:rPr>
        <w:t>. Zákon o medzinárodnom práve súkromnom a procesnom.</w:t>
      </w:r>
    </w:p>
    <w:p w14:paraId="46546AA1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/>
          <w:sz w:val="22"/>
          <w:szCs w:val="22"/>
        </w:rPr>
        <w:t xml:space="preserve">Všeobecné otázky MPS </w:t>
      </w:r>
      <w:r w:rsidRPr="00D6377D">
        <w:rPr>
          <w:sz w:val="22"/>
          <w:szCs w:val="22"/>
        </w:rPr>
        <w:t xml:space="preserve">– </w:t>
      </w:r>
      <w:proofErr w:type="spellStart"/>
      <w:r w:rsidRPr="00D6377D">
        <w:rPr>
          <w:sz w:val="22"/>
          <w:szCs w:val="22"/>
        </w:rPr>
        <w:t>samoštúdium</w:t>
      </w:r>
      <w:proofErr w:type="spellEnd"/>
      <w:r w:rsidRPr="00D6377D">
        <w:rPr>
          <w:sz w:val="22"/>
          <w:szCs w:val="22"/>
        </w:rPr>
        <w:t xml:space="preserve"> (vyučujúci reaguje na otázky položené študentmi)</w:t>
      </w:r>
    </w:p>
    <w:p w14:paraId="2F8B8AB7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Kvalifikačný problém. Ochranné mechanizmy v MPS: v</w:t>
      </w:r>
      <w:r w:rsidRPr="00D6377D">
        <w:rPr>
          <w:bCs/>
          <w:iCs/>
          <w:sz w:val="22"/>
          <w:szCs w:val="22"/>
        </w:rPr>
        <w:t>ýhrada verejného poriadku, </w:t>
      </w:r>
      <w:r>
        <w:rPr>
          <w:bCs/>
          <w:iCs/>
          <w:sz w:val="22"/>
          <w:szCs w:val="22"/>
        </w:rPr>
        <w:t xml:space="preserve">kolízne normy, </w:t>
      </w:r>
      <w:r w:rsidRPr="00D6377D">
        <w:rPr>
          <w:bCs/>
          <w:iCs/>
          <w:sz w:val="22"/>
          <w:szCs w:val="22"/>
        </w:rPr>
        <w:t>imperatívne normy</w:t>
      </w:r>
      <w:r>
        <w:rPr>
          <w:bCs/>
          <w:iCs/>
          <w:sz w:val="22"/>
          <w:szCs w:val="22"/>
        </w:rPr>
        <w:t xml:space="preserve"> a ochrana slabšej strany v</w:t>
      </w:r>
      <w:r w:rsidRPr="00D6377D">
        <w:rPr>
          <w:bCs/>
          <w:iCs/>
          <w:sz w:val="22"/>
          <w:szCs w:val="22"/>
        </w:rPr>
        <w:t xml:space="preserve"> </w:t>
      </w:r>
      <w:proofErr w:type="spellStart"/>
      <w:r w:rsidRPr="00D6377D">
        <w:rPr>
          <w:bCs/>
          <w:iCs/>
          <w:sz w:val="22"/>
          <w:szCs w:val="22"/>
        </w:rPr>
        <w:t>MPSaP</w:t>
      </w:r>
      <w:proofErr w:type="spellEnd"/>
      <w:r>
        <w:rPr>
          <w:sz w:val="22"/>
          <w:szCs w:val="22"/>
        </w:rPr>
        <w:t xml:space="preserve">. </w:t>
      </w:r>
      <w:r w:rsidRPr="00D6377D">
        <w:rPr>
          <w:sz w:val="22"/>
          <w:szCs w:val="22"/>
        </w:rPr>
        <w:t>Zisťovanie obsahu cudzieho práva. Spôsob a rozsah aplikácie cudzie</w:t>
      </w:r>
      <w:r>
        <w:rPr>
          <w:sz w:val="22"/>
          <w:szCs w:val="22"/>
        </w:rPr>
        <w:t>ho práva. Spätný a ďalší odkaz.</w:t>
      </w:r>
    </w:p>
    <w:p w14:paraId="17555B5C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Určenie rozhodného práva pre zmluvné vzťahy</w:t>
      </w:r>
    </w:p>
    <w:p w14:paraId="409E99D6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Cs/>
          <w:iCs/>
          <w:sz w:val="22"/>
          <w:szCs w:val="22"/>
        </w:rPr>
        <w:t>Rozlišovanie medzi zmluvnými a mimozmluvnými záväzkami v MPS. Nariadenie Rím I. Medzinárodné zmluvy. Zákon o medzinárodnom práve súkromnom a procesnom.</w:t>
      </w:r>
    </w:p>
    <w:p w14:paraId="1F80702D" w14:textId="77777777" w:rsidR="00A55834" w:rsidRPr="00D6377D" w:rsidRDefault="00A55834" w:rsidP="00A55834">
      <w:pPr>
        <w:spacing w:after="60" w:line="276" w:lineRule="auto"/>
        <w:jc w:val="both"/>
        <w:rPr>
          <w:bCs/>
          <w:iCs/>
          <w:sz w:val="22"/>
          <w:szCs w:val="22"/>
        </w:rPr>
      </w:pPr>
    </w:p>
    <w:p w14:paraId="1D5C2220" w14:textId="175AFA4D" w:rsidR="00A55834" w:rsidRPr="00D6377D" w:rsidRDefault="00A55834" w:rsidP="00A55834">
      <w:pPr>
        <w:spacing w:after="60" w:line="276" w:lineRule="auto"/>
        <w:jc w:val="both"/>
        <w:rPr>
          <w:b/>
          <w:bCs/>
          <w:iCs/>
          <w:sz w:val="22"/>
          <w:szCs w:val="22"/>
          <w:u w:val="single"/>
        </w:rPr>
      </w:pPr>
      <w:r w:rsidRPr="00D6377D">
        <w:rPr>
          <w:b/>
          <w:bCs/>
          <w:iCs/>
          <w:sz w:val="22"/>
          <w:szCs w:val="22"/>
          <w:u w:val="single"/>
        </w:rPr>
        <w:t>3. konzultácia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-</w:t>
      </w:r>
      <w:r w:rsidR="006012EA">
        <w:rPr>
          <w:b/>
          <w:bCs/>
          <w:iCs/>
          <w:sz w:val="22"/>
          <w:szCs w:val="22"/>
          <w:u w:val="single"/>
        </w:rPr>
        <w:t xml:space="preserve"> 22</w:t>
      </w:r>
      <w:r>
        <w:rPr>
          <w:b/>
          <w:bCs/>
          <w:iCs/>
          <w:sz w:val="22"/>
          <w:szCs w:val="22"/>
          <w:u w:val="single"/>
        </w:rPr>
        <w:t>.11.202</w:t>
      </w:r>
      <w:r w:rsidR="00C91010">
        <w:rPr>
          <w:b/>
          <w:bCs/>
          <w:iCs/>
          <w:sz w:val="22"/>
          <w:szCs w:val="22"/>
          <w:u w:val="single"/>
        </w:rPr>
        <w:t>5</w:t>
      </w:r>
    </w:p>
    <w:p w14:paraId="7295ECCE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Určenie rozhodného práva pre mimozmluvné vzťahy</w:t>
      </w:r>
    </w:p>
    <w:p w14:paraId="7CAA8A1A" w14:textId="77777777" w:rsidR="00A55834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Cs/>
          <w:iCs/>
          <w:sz w:val="22"/>
          <w:szCs w:val="22"/>
        </w:rPr>
        <w:t>Nariadenie Rím II. Medzinárodné zmluvy. Zákon o medzinárodnom práve súkromnom a procesnom.</w:t>
      </w:r>
    </w:p>
    <w:p w14:paraId="3580FD9C" w14:textId="77777777" w:rsidR="00A55834" w:rsidRPr="00D6377D" w:rsidRDefault="00A55834" w:rsidP="00A55834">
      <w:pPr>
        <w:spacing w:after="60" w:line="276" w:lineRule="auto"/>
        <w:ind w:firstLine="708"/>
        <w:jc w:val="both"/>
        <w:rPr>
          <w:b/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>Určenie rozhodného práva pre spôsobilosť subjektov a ich konanie</w:t>
      </w:r>
    </w:p>
    <w:p w14:paraId="308E0E62" w14:textId="77777777" w:rsidR="00A55834" w:rsidRPr="00D6377D" w:rsidRDefault="00A55834" w:rsidP="00A55834">
      <w:pPr>
        <w:spacing w:after="60" w:line="276" w:lineRule="auto"/>
        <w:ind w:left="720"/>
        <w:jc w:val="both"/>
        <w:rPr>
          <w:bCs/>
          <w:iCs/>
          <w:sz w:val="22"/>
          <w:szCs w:val="22"/>
        </w:rPr>
      </w:pPr>
      <w:r w:rsidRPr="00D6377D">
        <w:rPr>
          <w:bCs/>
          <w:iCs/>
          <w:sz w:val="22"/>
          <w:szCs w:val="22"/>
        </w:rPr>
        <w:t>Spôsobilosť subjektov z pohľadu MPS: fyzické osoby, právnické osoby, štát. Právny úkon z pohľadu MPS.</w:t>
      </w:r>
    </w:p>
    <w:p w14:paraId="54CA8EBB" w14:textId="77777777" w:rsidR="00A55834" w:rsidRPr="00D6377D" w:rsidRDefault="00A55834" w:rsidP="00A55834">
      <w:pPr>
        <w:spacing w:after="60" w:line="276" w:lineRule="auto"/>
        <w:ind w:left="708"/>
        <w:jc w:val="both"/>
        <w:rPr>
          <w:bCs/>
          <w:iCs/>
          <w:sz w:val="22"/>
          <w:szCs w:val="22"/>
        </w:rPr>
      </w:pPr>
      <w:r w:rsidRPr="00D6377D">
        <w:rPr>
          <w:b/>
          <w:bCs/>
          <w:iCs/>
          <w:sz w:val="22"/>
          <w:szCs w:val="22"/>
        </w:rPr>
        <w:t xml:space="preserve">Určenie rozhodného práva pre vecné práva </w:t>
      </w:r>
      <w:r w:rsidRPr="00D6377D">
        <w:rPr>
          <w:bCs/>
          <w:iCs/>
          <w:sz w:val="22"/>
          <w:szCs w:val="22"/>
        </w:rPr>
        <w:t xml:space="preserve">- </w:t>
      </w:r>
      <w:proofErr w:type="spellStart"/>
      <w:r w:rsidRPr="00D6377D">
        <w:rPr>
          <w:bCs/>
          <w:iCs/>
          <w:sz w:val="22"/>
          <w:szCs w:val="22"/>
        </w:rPr>
        <w:t>samoštúdium</w:t>
      </w:r>
      <w:proofErr w:type="spellEnd"/>
      <w:r w:rsidRPr="00D6377D">
        <w:rPr>
          <w:sz w:val="22"/>
          <w:szCs w:val="22"/>
        </w:rPr>
        <w:t xml:space="preserve"> (vyučujúci reaguje na otázky položené študentmi)</w:t>
      </w:r>
    </w:p>
    <w:p w14:paraId="79D2808F" w14:textId="77777777" w:rsidR="00A55834" w:rsidRDefault="00A55834" w:rsidP="00A55834">
      <w:pPr>
        <w:spacing w:after="60" w:line="276" w:lineRule="auto"/>
        <w:jc w:val="both"/>
        <w:rPr>
          <w:b/>
          <w:bCs/>
          <w:iCs/>
          <w:sz w:val="22"/>
          <w:szCs w:val="22"/>
          <w:u w:val="single"/>
        </w:rPr>
      </w:pPr>
    </w:p>
    <w:p w14:paraId="1B9AEBFB" w14:textId="28199438" w:rsidR="00A55834" w:rsidRPr="00D6377D" w:rsidRDefault="00A55834" w:rsidP="00A55834">
      <w:pPr>
        <w:spacing w:after="60" w:line="276" w:lineRule="auto"/>
        <w:jc w:val="both"/>
        <w:rPr>
          <w:b/>
          <w:bCs/>
          <w:iCs/>
          <w:sz w:val="22"/>
          <w:szCs w:val="22"/>
          <w:u w:val="single"/>
        </w:rPr>
      </w:pPr>
      <w:r w:rsidRPr="00D6377D">
        <w:rPr>
          <w:b/>
          <w:bCs/>
          <w:iCs/>
          <w:sz w:val="22"/>
          <w:szCs w:val="22"/>
          <w:u w:val="single"/>
        </w:rPr>
        <w:lastRenderedPageBreak/>
        <w:t>4. konzultácia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-</w:t>
      </w:r>
      <w:r w:rsidR="006012EA">
        <w:rPr>
          <w:b/>
          <w:bCs/>
          <w:iCs/>
          <w:sz w:val="22"/>
          <w:szCs w:val="22"/>
          <w:u w:val="single"/>
        </w:rPr>
        <w:t xml:space="preserve"> 29</w:t>
      </w:r>
      <w:r>
        <w:rPr>
          <w:b/>
          <w:bCs/>
          <w:iCs/>
          <w:sz w:val="22"/>
          <w:szCs w:val="22"/>
          <w:u w:val="single"/>
        </w:rPr>
        <w:t>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>1</w:t>
      </w:r>
      <w:r w:rsidR="006012EA">
        <w:rPr>
          <w:b/>
          <w:bCs/>
          <w:iCs/>
          <w:sz w:val="22"/>
          <w:szCs w:val="22"/>
          <w:u w:val="single"/>
        </w:rPr>
        <w:t>1</w:t>
      </w:r>
      <w:r w:rsidR="00C91010">
        <w:rPr>
          <w:b/>
          <w:bCs/>
          <w:iCs/>
          <w:sz w:val="22"/>
          <w:szCs w:val="22"/>
          <w:u w:val="single"/>
        </w:rPr>
        <w:t>.</w:t>
      </w:r>
      <w:r w:rsidR="006012EA">
        <w:rPr>
          <w:b/>
          <w:bCs/>
          <w:iCs/>
          <w:sz w:val="22"/>
          <w:szCs w:val="22"/>
          <w:u w:val="single"/>
        </w:rPr>
        <w:t xml:space="preserve"> </w:t>
      </w:r>
      <w:r w:rsidR="00C91010">
        <w:rPr>
          <w:b/>
          <w:bCs/>
          <w:iCs/>
          <w:sz w:val="22"/>
          <w:szCs w:val="22"/>
          <w:u w:val="single"/>
        </w:rPr>
        <w:t>2025</w:t>
      </w:r>
    </w:p>
    <w:p w14:paraId="215BC3BE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 w:rsidRPr="00D6377D">
        <w:rPr>
          <w:b/>
          <w:sz w:val="22"/>
          <w:szCs w:val="22"/>
        </w:rPr>
        <w:t>Uznávanie a výkon rozhodnutí v občianskych a obchodných veciach</w:t>
      </w:r>
    </w:p>
    <w:p w14:paraId="58711568" w14:textId="77777777" w:rsidR="00A55834" w:rsidRPr="00D6377D" w:rsidRDefault="00A55834" w:rsidP="00A55834">
      <w:pPr>
        <w:spacing w:after="60" w:line="276" w:lineRule="auto"/>
        <w:ind w:left="709"/>
        <w:jc w:val="both"/>
        <w:rPr>
          <w:bCs/>
          <w:iCs/>
          <w:sz w:val="22"/>
          <w:szCs w:val="22"/>
        </w:rPr>
      </w:pPr>
      <w:r w:rsidRPr="00D6377D">
        <w:rPr>
          <w:sz w:val="22"/>
          <w:szCs w:val="22"/>
        </w:rPr>
        <w:t>Rozlišovanie uznávania verejných listín, súdnych, administratívnych a rozhodcovských rozhodnutí. Z</w:t>
      </w:r>
      <w:r w:rsidRPr="00D6377D">
        <w:rPr>
          <w:bCs/>
          <w:iCs/>
          <w:sz w:val="22"/>
          <w:szCs w:val="22"/>
        </w:rPr>
        <w:t>jednodušené pravidlá pre uznávanie a výkon rozhodnutí súdov členských štátov v občianskych a obchodných veciach.</w:t>
      </w:r>
    </w:p>
    <w:p w14:paraId="054F1844" w14:textId="77777777" w:rsidR="00A55834" w:rsidRPr="00D6377D" w:rsidRDefault="00A55834" w:rsidP="00A55834">
      <w:pPr>
        <w:spacing w:after="60" w:line="276" w:lineRule="auto"/>
        <w:ind w:left="7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Dedičský štatút - </w:t>
      </w:r>
      <w:proofErr w:type="spellStart"/>
      <w:r w:rsidRPr="00D6377D">
        <w:rPr>
          <w:bCs/>
          <w:iCs/>
          <w:sz w:val="22"/>
          <w:szCs w:val="22"/>
        </w:rPr>
        <w:t>s</w:t>
      </w:r>
      <w:r w:rsidRPr="00054CAE">
        <w:rPr>
          <w:sz w:val="22"/>
          <w:szCs w:val="22"/>
        </w:rPr>
        <w:t>amoštúdium</w:t>
      </w:r>
      <w:proofErr w:type="spellEnd"/>
      <w:r>
        <w:rPr>
          <w:sz w:val="22"/>
          <w:szCs w:val="22"/>
        </w:rPr>
        <w:t xml:space="preserve"> (vyučujúci reaguje na otázky položené študentmi)</w:t>
      </w:r>
    </w:p>
    <w:p w14:paraId="4662A83E" w14:textId="4C1B8D5E" w:rsidR="00A55834" w:rsidRDefault="00A55834" w:rsidP="00A55834">
      <w:pPr>
        <w:pStyle w:val="Odsekzoznamu"/>
        <w:spacing w:after="60"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Východiskové princípy určovania právomoci, rozhodného práva a uznávania</w:t>
      </w:r>
      <w:r w:rsidRPr="00D6377D">
        <w:rPr>
          <w:bCs/>
          <w:iCs/>
          <w:sz w:val="22"/>
          <w:szCs w:val="22"/>
        </w:rPr>
        <w:t xml:space="preserve"> a výkon</w:t>
      </w:r>
      <w:r>
        <w:rPr>
          <w:bCs/>
          <w:iCs/>
          <w:sz w:val="22"/>
          <w:szCs w:val="22"/>
        </w:rPr>
        <w:t>u</w:t>
      </w:r>
      <w:r w:rsidRPr="00D6377D">
        <w:rPr>
          <w:bCs/>
          <w:iCs/>
          <w:sz w:val="22"/>
          <w:szCs w:val="22"/>
        </w:rPr>
        <w:t xml:space="preserve"> rozhodnutí.</w:t>
      </w:r>
    </w:p>
    <w:p w14:paraId="580B2F81" w14:textId="77777777" w:rsidR="006012EA" w:rsidRPr="00D6377D" w:rsidRDefault="006012EA" w:rsidP="00A55834">
      <w:pPr>
        <w:pStyle w:val="Odsekzoznamu"/>
        <w:spacing w:after="60" w:line="276" w:lineRule="auto"/>
        <w:jc w:val="both"/>
        <w:rPr>
          <w:bCs/>
          <w:iCs/>
          <w:sz w:val="22"/>
          <w:szCs w:val="22"/>
        </w:rPr>
      </w:pPr>
    </w:p>
    <w:p w14:paraId="51DD2D90" w14:textId="77777777" w:rsidR="00A55834" w:rsidRPr="00D6377D" w:rsidRDefault="00A55834" w:rsidP="00A55834">
      <w:pPr>
        <w:spacing w:after="60" w:line="276" w:lineRule="auto"/>
        <w:jc w:val="both"/>
        <w:rPr>
          <w:sz w:val="22"/>
          <w:szCs w:val="22"/>
        </w:rPr>
      </w:pPr>
    </w:p>
    <w:p w14:paraId="2D29BB64" w14:textId="45817016" w:rsidR="00A55834" w:rsidRDefault="00A55834" w:rsidP="00A55834">
      <w:pPr>
        <w:spacing w:after="60"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 Košiciach 9. septembra 2025</w:t>
      </w:r>
    </w:p>
    <w:p w14:paraId="11B5E665" w14:textId="37C91985" w:rsidR="006012EA" w:rsidRDefault="006012EA" w:rsidP="00A55834">
      <w:pPr>
        <w:spacing w:after="60" w:line="276" w:lineRule="auto"/>
        <w:jc w:val="both"/>
        <w:rPr>
          <w:bCs/>
          <w:iCs/>
          <w:sz w:val="22"/>
          <w:szCs w:val="22"/>
        </w:rPr>
      </w:pPr>
    </w:p>
    <w:p w14:paraId="38E4DC2F" w14:textId="77777777" w:rsidR="006012EA" w:rsidRPr="008D7141" w:rsidRDefault="006012EA" w:rsidP="00A55834">
      <w:pPr>
        <w:spacing w:after="60" w:line="276" w:lineRule="auto"/>
        <w:jc w:val="both"/>
        <w:rPr>
          <w:bCs/>
          <w:iCs/>
          <w:sz w:val="22"/>
          <w:szCs w:val="22"/>
        </w:rPr>
      </w:pPr>
    </w:p>
    <w:p w14:paraId="3506A925" w14:textId="77777777" w:rsidR="00A55834" w:rsidRPr="00D6377D" w:rsidRDefault="00A55834" w:rsidP="00A55834">
      <w:pPr>
        <w:spacing w:after="60" w:line="276" w:lineRule="auto"/>
        <w:jc w:val="both"/>
        <w:rPr>
          <w:sz w:val="22"/>
          <w:szCs w:val="22"/>
        </w:rPr>
      </w:pP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prof</w:t>
      </w:r>
      <w:r w:rsidRPr="00D6377D">
        <w:rPr>
          <w:sz w:val="22"/>
          <w:szCs w:val="22"/>
        </w:rPr>
        <w:t xml:space="preserve">. JUDr. Martina Jánošíková, </w:t>
      </w:r>
      <w:proofErr w:type="spellStart"/>
      <w:r w:rsidRPr="00D6377D">
        <w:rPr>
          <w:sz w:val="22"/>
          <w:szCs w:val="22"/>
        </w:rPr>
        <w:t>Ph.D</w:t>
      </w:r>
      <w:proofErr w:type="spellEnd"/>
      <w:r w:rsidRPr="00D6377D">
        <w:rPr>
          <w:sz w:val="22"/>
          <w:szCs w:val="22"/>
        </w:rPr>
        <w:t>.</w:t>
      </w:r>
    </w:p>
    <w:p w14:paraId="5B93C4A9" w14:textId="77777777" w:rsidR="00A55834" w:rsidRPr="00D6377D" w:rsidRDefault="00A55834" w:rsidP="00A55834">
      <w:pPr>
        <w:spacing w:after="60" w:line="276" w:lineRule="auto"/>
        <w:jc w:val="both"/>
        <w:rPr>
          <w:sz w:val="22"/>
          <w:szCs w:val="22"/>
        </w:rPr>
      </w:pP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</w:r>
      <w:r w:rsidRPr="00D6377D">
        <w:rPr>
          <w:sz w:val="22"/>
          <w:szCs w:val="22"/>
        </w:rPr>
        <w:tab/>
        <w:t xml:space="preserve">            riaditeľka</w:t>
      </w:r>
    </w:p>
    <w:p w14:paraId="4EEC6787" w14:textId="7234D781" w:rsidR="00A55834" w:rsidRPr="00D6377D" w:rsidRDefault="00A55834" w:rsidP="00A55834">
      <w:pPr>
        <w:spacing w:after="60" w:line="276" w:lineRule="auto"/>
        <w:jc w:val="both"/>
        <w:rPr>
          <w:sz w:val="22"/>
          <w:szCs w:val="22"/>
        </w:rPr>
      </w:pPr>
      <w:r w:rsidRPr="00D6377D">
        <w:rPr>
          <w:sz w:val="22"/>
          <w:szCs w:val="22"/>
        </w:rPr>
        <w:t xml:space="preserve">                                                    </w:t>
      </w:r>
      <w:r w:rsidRPr="00D6377D">
        <w:rPr>
          <w:sz w:val="22"/>
          <w:szCs w:val="22"/>
        </w:rPr>
        <w:tab/>
      </w:r>
      <w:r w:rsidR="006012EA">
        <w:rPr>
          <w:sz w:val="22"/>
          <w:szCs w:val="22"/>
        </w:rPr>
        <w:t xml:space="preserve">      </w:t>
      </w:r>
      <w:bookmarkStart w:id="0" w:name="_GoBack"/>
      <w:bookmarkEnd w:id="0"/>
      <w:r w:rsidRPr="00D6377D">
        <w:rPr>
          <w:sz w:val="22"/>
          <w:szCs w:val="22"/>
        </w:rPr>
        <w:t>Ústavu medzinárodného práva a európskeho práva</w:t>
      </w:r>
    </w:p>
    <w:p w14:paraId="5E4C819B" w14:textId="77777777" w:rsidR="00A55834" w:rsidRDefault="00A55834" w:rsidP="00A55834"/>
    <w:p w14:paraId="3814EFCD" w14:textId="77777777" w:rsidR="00A55834" w:rsidRDefault="00A55834" w:rsidP="00A55834"/>
    <w:p w14:paraId="164052CF" w14:textId="77777777" w:rsidR="00A55834" w:rsidRDefault="00A55834" w:rsidP="00A55834"/>
    <w:p w14:paraId="3CB57FAE" w14:textId="77777777" w:rsidR="00A55834" w:rsidRDefault="00A55834" w:rsidP="00A55834"/>
    <w:p w14:paraId="19EFFDB2" w14:textId="77777777" w:rsidR="00730D4A" w:rsidRDefault="00730D4A"/>
    <w:sectPr w:rsidR="00730D4A" w:rsidSect="00CA40B8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1697" w14:textId="77777777" w:rsidR="00000000" w:rsidRDefault="006012EA">
      <w:r>
        <w:separator/>
      </w:r>
    </w:p>
  </w:endnote>
  <w:endnote w:type="continuationSeparator" w:id="0">
    <w:p w14:paraId="7C074EA7" w14:textId="77777777" w:rsidR="00000000" w:rsidRDefault="006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8F47" w14:textId="520805C4" w:rsidR="00CA40B8" w:rsidRDefault="00C91010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2EA">
      <w:rPr>
        <w:noProof/>
      </w:rPr>
      <w:t>2</w:t>
    </w:r>
    <w:r>
      <w:rPr>
        <w:noProof/>
      </w:rPr>
      <w:fldChar w:fldCharType="end"/>
    </w:r>
  </w:p>
  <w:p w14:paraId="06318E88" w14:textId="77777777" w:rsidR="00CA40B8" w:rsidRDefault="006012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0ED9" w14:textId="77777777" w:rsidR="00000000" w:rsidRDefault="006012EA">
      <w:r>
        <w:separator/>
      </w:r>
    </w:p>
  </w:footnote>
  <w:footnote w:type="continuationSeparator" w:id="0">
    <w:p w14:paraId="1CB64350" w14:textId="77777777" w:rsidR="00000000" w:rsidRDefault="0060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4"/>
    <w:rsid w:val="006012EA"/>
    <w:rsid w:val="00730D4A"/>
    <w:rsid w:val="00986924"/>
    <w:rsid w:val="00A55834"/>
    <w:rsid w:val="00C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D98"/>
  <w15:chartTrackingRefBased/>
  <w15:docId w15:val="{25B0E3C7-06DE-49D2-9DE6-CFA4273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58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558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58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A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Ľubica Gregová Širicová PhD.</dc:creator>
  <cp:keywords/>
  <dc:description/>
  <cp:lastModifiedBy>janosikova</cp:lastModifiedBy>
  <cp:revision>3</cp:revision>
  <dcterms:created xsi:type="dcterms:W3CDTF">2025-08-22T09:31:00Z</dcterms:created>
  <dcterms:modified xsi:type="dcterms:W3CDTF">2025-09-11T16:36:00Z</dcterms:modified>
</cp:coreProperties>
</file>