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CDCF5" w14:textId="2D52C13A" w:rsidR="009F4F1A" w:rsidRDefault="00BA7249" w:rsidP="00BD1819">
      <w:pPr>
        <w:spacing w:after="486" w:line="259" w:lineRule="auto"/>
        <w:ind w:left="0" w:firstLine="0"/>
        <w:jc w:val="center"/>
      </w:pPr>
      <w:r>
        <w:rPr>
          <w:sz w:val="26"/>
        </w:rPr>
        <w:t>KATEDRA OBČIANSKEHO PRÁVA</w:t>
      </w:r>
    </w:p>
    <w:p w14:paraId="05AD3849" w14:textId="77777777" w:rsidR="00BD1819" w:rsidRDefault="00BA7249" w:rsidP="00BD1819">
      <w:pPr>
        <w:spacing w:after="358" w:line="259" w:lineRule="auto"/>
        <w:ind w:left="0" w:firstLine="0"/>
        <w:jc w:val="center"/>
      </w:pPr>
      <w:r>
        <w:rPr>
          <w:noProof/>
          <w:lang w:val="en-US" w:eastAsia="en-US"/>
        </w:rPr>
        <w:drawing>
          <wp:inline distT="0" distB="0" distL="0" distR="0" wp14:anchorId="49B706D8" wp14:editId="0D8E587D">
            <wp:extent cx="844410" cy="137173"/>
            <wp:effectExtent l="0" t="0" r="0" b="0"/>
            <wp:docPr id="1527" name="Picture 15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" name="Picture 152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4410" cy="13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C3424A" w14:textId="5AFF0D47" w:rsidR="009F4F1A" w:rsidRDefault="00364D1E" w:rsidP="00BD1819">
      <w:pPr>
        <w:spacing w:after="358" w:line="259" w:lineRule="auto"/>
        <w:ind w:left="0" w:firstLine="0"/>
        <w:jc w:val="center"/>
      </w:pPr>
      <w:r>
        <w:rPr>
          <w:sz w:val="26"/>
        </w:rPr>
        <w:t>na ústnu postupovú skúšku OPH II</w:t>
      </w:r>
      <w:r w:rsidR="00E91C11">
        <w:rPr>
          <w:sz w:val="26"/>
        </w:rPr>
        <w:t>I</w:t>
      </w:r>
      <w:r w:rsidR="00BA7249">
        <w:rPr>
          <w:sz w:val="26"/>
        </w:rPr>
        <w:t>.</w:t>
      </w:r>
      <w:r>
        <w:rPr>
          <w:sz w:val="26"/>
        </w:rPr>
        <w:t xml:space="preserve"> 2.</w:t>
      </w:r>
      <w:r w:rsidR="00BA7249">
        <w:rPr>
          <w:sz w:val="26"/>
        </w:rPr>
        <w:t xml:space="preserve"> ročník letný</w:t>
      </w:r>
      <w:r>
        <w:rPr>
          <w:sz w:val="26"/>
        </w:rPr>
        <w:t xml:space="preserve"> se</w:t>
      </w:r>
      <w:r w:rsidR="00677AE1">
        <w:rPr>
          <w:sz w:val="26"/>
        </w:rPr>
        <w:t>mester</w:t>
      </w:r>
    </w:p>
    <w:p w14:paraId="552F11E2" w14:textId="77777777" w:rsidR="009F4F1A" w:rsidRDefault="00BA7249" w:rsidP="00E91C11">
      <w:pPr>
        <w:numPr>
          <w:ilvl w:val="0"/>
          <w:numId w:val="6"/>
        </w:numPr>
        <w:ind w:left="567"/>
      </w:pPr>
      <w:r>
        <w:t>Pojem, funkcia a systematika záväzkového práva</w:t>
      </w:r>
    </w:p>
    <w:p w14:paraId="3D24E895" w14:textId="77777777" w:rsidR="009F4F1A" w:rsidRDefault="00BA7249" w:rsidP="00E91C11">
      <w:pPr>
        <w:numPr>
          <w:ilvl w:val="0"/>
          <w:numId w:val="6"/>
        </w:numPr>
        <w:ind w:left="567"/>
      </w:pPr>
      <w:r>
        <w:t>Vznik záväzkov</w:t>
      </w:r>
    </w:p>
    <w:p w14:paraId="4BFB7093" w14:textId="77777777" w:rsidR="009F4F1A" w:rsidRDefault="00BA7249" w:rsidP="00E91C11">
      <w:pPr>
        <w:numPr>
          <w:ilvl w:val="0"/>
          <w:numId w:val="6"/>
        </w:numPr>
        <w:ind w:left="567"/>
      </w:pPr>
      <w:r>
        <w:t>Predmet a druhy záväzkov</w:t>
      </w:r>
    </w:p>
    <w:p w14:paraId="081A8615" w14:textId="77777777" w:rsidR="009F4F1A" w:rsidRDefault="00BA7249" w:rsidP="00E91C11">
      <w:pPr>
        <w:numPr>
          <w:ilvl w:val="0"/>
          <w:numId w:val="6"/>
        </w:numPr>
        <w:ind w:left="567"/>
      </w:pPr>
      <w:r>
        <w:t>Obsah záväzkov a spôsoby ich plnenia</w:t>
      </w:r>
    </w:p>
    <w:p w14:paraId="7C967C76" w14:textId="40D597AF" w:rsidR="009F4F1A" w:rsidRDefault="00BA7249" w:rsidP="00E91C11">
      <w:pPr>
        <w:numPr>
          <w:ilvl w:val="0"/>
          <w:numId w:val="6"/>
        </w:numPr>
        <w:ind w:left="567"/>
      </w:pPr>
      <w:r>
        <w:t>Solidárne záväzky</w:t>
      </w:r>
    </w:p>
    <w:p w14:paraId="3431BAD9" w14:textId="77777777" w:rsidR="009F4F1A" w:rsidRDefault="00BA7249" w:rsidP="00E91C11">
      <w:pPr>
        <w:numPr>
          <w:ilvl w:val="0"/>
          <w:numId w:val="6"/>
        </w:numPr>
        <w:ind w:left="567"/>
      </w:pPr>
      <w:r>
        <w:t xml:space="preserve">Delené a </w:t>
      </w:r>
      <w:r w:rsidR="00364D1E">
        <w:t>nedeliteľné</w:t>
      </w:r>
      <w:r>
        <w:t xml:space="preserve"> </w:t>
      </w:r>
      <w:r w:rsidR="00364D1E">
        <w:t>záväzky</w:t>
      </w:r>
    </w:p>
    <w:p w14:paraId="46958007" w14:textId="77777777" w:rsidR="009F4F1A" w:rsidRDefault="00BA7249" w:rsidP="00E91C11">
      <w:pPr>
        <w:numPr>
          <w:ilvl w:val="0"/>
          <w:numId w:val="6"/>
        </w:numPr>
        <w:ind w:left="567"/>
      </w:pPr>
      <w:r>
        <w:t>Zmena v subjektoch záväzkov — všeobecne</w:t>
      </w:r>
    </w:p>
    <w:p w14:paraId="705D67BA" w14:textId="77777777" w:rsidR="009F4F1A" w:rsidRDefault="00BA7249" w:rsidP="00E91C11">
      <w:pPr>
        <w:numPr>
          <w:ilvl w:val="0"/>
          <w:numId w:val="6"/>
        </w:numPr>
        <w:ind w:left="567"/>
      </w:pPr>
      <w:r>
        <w:t xml:space="preserve">Postúpenie </w:t>
      </w:r>
      <w:r w:rsidR="00364D1E">
        <w:t>pohľadávky</w:t>
      </w:r>
    </w:p>
    <w:p w14:paraId="4A614CF2" w14:textId="77777777" w:rsidR="009F4F1A" w:rsidRDefault="00BA7249" w:rsidP="00E91C11">
      <w:pPr>
        <w:numPr>
          <w:ilvl w:val="0"/>
          <w:numId w:val="6"/>
        </w:numPr>
        <w:ind w:left="567"/>
      </w:pPr>
      <w:r>
        <w:t>Prevzatie dlhu a pristúpenie k záväzku</w:t>
      </w:r>
    </w:p>
    <w:p w14:paraId="37A386B0" w14:textId="77777777" w:rsidR="00ED1B9F" w:rsidRDefault="00BA7249" w:rsidP="00ED1B9F">
      <w:pPr>
        <w:numPr>
          <w:ilvl w:val="0"/>
          <w:numId w:val="6"/>
        </w:numPr>
        <w:ind w:left="567"/>
      </w:pPr>
      <w:r>
        <w:t>Poukážka a poukážka na cenné papiere</w:t>
      </w:r>
    </w:p>
    <w:p w14:paraId="36206F2A" w14:textId="2720FD56" w:rsidR="009F4F1A" w:rsidRDefault="00BA7249" w:rsidP="00ED1B9F">
      <w:pPr>
        <w:numPr>
          <w:ilvl w:val="0"/>
          <w:numId w:val="6"/>
        </w:numPr>
        <w:ind w:left="567"/>
      </w:pPr>
      <w:r>
        <w:t>Zmena v obsahu záväzkov — všeobecne</w:t>
      </w:r>
    </w:p>
    <w:p w14:paraId="1555775A" w14:textId="77777777" w:rsidR="009F4F1A" w:rsidRDefault="00BA7249" w:rsidP="00E91C11">
      <w:pPr>
        <w:numPr>
          <w:ilvl w:val="0"/>
          <w:numId w:val="6"/>
        </w:numPr>
        <w:ind w:left="567"/>
      </w:pPr>
      <w:r>
        <w:t>Omeškanie dlžníka</w:t>
      </w:r>
    </w:p>
    <w:p w14:paraId="0AD06A0D" w14:textId="77777777" w:rsidR="009F4F1A" w:rsidRDefault="00BA7249" w:rsidP="00E91C11">
      <w:pPr>
        <w:numPr>
          <w:ilvl w:val="0"/>
          <w:numId w:val="6"/>
        </w:numPr>
        <w:ind w:left="567"/>
      </w:pPr>
      <w:r>
        <w:t xml:space="preserve">Omeškanie </w:t>
      </w:r>
      <w:r w:rsidR="00364D1E">
        <w:t>veriteľa</w:t>
      </w:r>
    </w:p>
    <w:p w14:paraId="78812A98" w14:textId="77777777" w:rsidR="009F4F1A" w:rsidRDefault="00BA7249" w:rsidP="00E91C11">
      <w:pPr>
        <w:numPr>
          <w:ilvl w:val="0"/>
          <w:numId w:val="6"/>
        </w:numPr>
        <w:ind w:left="567"/>
      </w:pPr>
      <w:r>
        <w:t>Zabezpečenie záväzkov - všeobecne</w:t>
      </w:r>
    </w:p>
    <w:p w14:paraId="0E4BFA10" w14:textId="77777777" w:rsidR="009F4F1A" w:rsidRDefault="00BA7249" w:rsidP="00E91C11">
      <w:pPr>
        <w:numPr>
          <w:ilvl w:val="0"/>
          <w:numId w:val="6"/>
        </w:numPr>
        <w:ind w:left="567"/>
      </w:pPr>
      <w:r>
        <w:t>Zmluvná pokuta</w:t>
      </w:r>
    </w:p>
    <w:p w14:paraId="13C50092" w14:textId="77777777" w:rsidR="009F4F1A" w:rsidRDefault="00BA7249" w:rsidP="00E91C11">
      <w:pPr>
        <w:numPr>
          <w:ilvl w:val="0"/>
          <w:numId w:val="6"/>
        </w:numPr>
        <w:ind w:left="567"/>
      </w:pPr>
      <w:r>
        <w:t>Ručenie</w:t>
      </w:r>
    </w:p>
    <w:p w14:paraId="117A64ED" w14:textId="3AED8790" w:rsidR="009F4F1A" w:rsidRDefault="00BA7249" w:rsidP="00E91C11">
      <w:pPr>
        <w:numPr>
          <w:ilvl w:val="0"/>
          <w:numId w:val="6"/>
        </w:numPr>
        <w:ind w:left="567"/>
      </w:pPr>
      <w:r>
        <w:t>Záložn</w:t>
      </w:r>
      <w:r w:rsidR="00CC446A">
        <w:t>é právo</w:t>
      </w:r>
    </w:p>
    <w:p w14:paraId="577218E8" w14:textId="69890F40" w:rsidR="009F4F1A" w:rsidRDefault="00BA7249" w:rsidP="0048785C">
      <w:pPr>
        <w:numPr>
          <w:ilvl w:val="0"/>
          <w:numId w:val="6"/>
        </w:numPr>
        <w:ind w:left="567"/>
      </w:pPr>
      <w:r>
        <w:t>Zabezpečenie záväzku prevodom práva</w:t>
      </w:r>
      <w:r w:rsidR="00CC446A">
        <w:t xml:space="preserve"> a </w:t>
      </w:r>
      <w:r>
        <w:t xml:space="preserve">Zabezpečenie postúpením </w:t>
      </w:r>
      <w:r w:rsidR="00364D1E">
        <w:t>pohľadávky</w:t>
      </w:r>
    </w:p>
    <w:p w14:paraId="4F3259F1" w14:textId="685940B0" w:rsidR="009F4F1A" w:rsidRDefault="00BA7249" w:rsidP="0017452E">
      <w:pPr>
        <w:numPr>
          <w:ilvl w:val="0"/>
          <w:numId w:val="6"/>
        </w:numPr>
        <w:ind w:left="567"/>
      </w:pPr>
      <w:r>
        <w:t>Zábezpeka</w:t>
      </w:r>
      <w:r w:rsidR="0017452E">
        <w:t xml:space="preserve">, dohoda o zrážkach zo mzdy a iných príjmov </w:t>
      </w:r>
      <w:r>
        <w:t>a uznanie dlhu</w:t>
      </w:r>
    </w:p>
    <w:p w14:paraId="59B14E56" w14:textId="77777777" w:rsidR="009F4F1A" w:rsidRDefault="00BA7249" w:rsidP="00E91C11">
      <w:pPr>
        <w:numPr>
          <w:ilvl w:val="0"/>
          <w:numId w:val="6"/>
        </w:numPr>
        <w:ind w:left="567"/>
      </w:pPr>
      <w:r>
        <w:t>Zánik záväzkov — všeobecne</w:t>
      </w:r>
    </w:p>
    <w:p w14:paraId="021726A4" w14:textId="77777777" w:rsidR="009F4F1A" w:rsidRDefault="00BA7249" w:rsidP="00E91C11">
      <w:pPr>
        <w:numPr>
          <w:ilvl w:val="0"/>
          <w:numId w:val="6"/>
        </w:numPr>
        <w:ind w:left="567"/>
      </w:pPr>
      <w:r>
        <w:t>Splnenie dlhu</w:t>
      </w:r>
    </w:p>
    <w:p w14:paraId="4D321C8C" w14:textId="6BD8BA5E" w:rsidR="009F4F1A" w:rsidRDefault="00CC446A" w:rsidP="0091193C">
      <w:pPr>
        <w:numPr>
          <w:ilvl w:val="0"/>
          <w:numId w:val="6"/>
        </w:numPr>
        <w:ind w:left="567"/>
      </w:pPr>
      <w:r>
        <w:t>Uloženie do úradnej úschovy a Započítanie</w:t>
      </w:r>
    </w:p>
    <w:p w14:paraId="48666172" w14:textId="5B94CC3C" w:rsidR="009F4F1A" w:rsidRDefault="00ED1B9F" w:rsidP="000161DA">
      <w:pPr>
        <w:numPr>
          <w:ilvl w:val="0"/>
          <w:numId w:val="6"/>
        </w:numPr>
        <w:ind w:left="567"/>
      </w:pPr>
      <w:r>
        <w:t>Výpoveď</w:t>
      </w:r>
      <w:r w:rsidR="00CC446A">
        <w:t xml:space="preserve"> a </w:t>
      </w:r>
      <w:r w:rsidR="00BA7249">
        <w:t>Odstúpenie od zmluvy</w:t>
      </w:r>
    </w:p>
    <w:p w14:paraId="745C363A" w14:textId="4F6D1817" w:rsidR="009F4F1A" w:rsidRDefault="00BA7249" w:rsidP="00991140">
      <w:pPr>
        <w:numPr>
          <w:ilvl w:val="0"/>
          <w:numId w:val="6"/>
        </w:numPr>
        <w:ind w:left="567"/>
      </w:pPr>
      <w:r>
        <w:t>Dohoda o urovnaní (pokonávke)</w:t>
      </w:r>
      <w:r w:rsidR="00CC446A">
        <w:t xml:space="preserve">, Novácia a </w:t>
      </w:r>
      <w:r>
        <w:t>Dohoda o vzdaní sa práva a odpustení dlhu</w:t>
      </w:r>
    </w:p>
    <w:p w14:paraId="3A3B6E5A" w14:textId="6B62377D" w:rsidR="009F4F1A" w:rsidRDefault="00BA7249" w:rsidP="00DA155D">
      <w:pPr>
        <w:numPr>
          <w:ilvl w:val="0"/>
          <w:numId w:val="6"/>
        </w:numPr>
        <w:ind w:left="567"/>
      </w:pPr>
      <w:r>
        <w:t xml:space="preserve">Zánik záväzku </w:t>
      </w:r>
      <w:r w:rsidR="00364D1E">
        <w:t>smrťou</w:t>
      </w:r>
      <w:r>
        <w:t xml:space="preserve"> </w:t>
      </w:r>
      <w:r w:rsidR="00364D1E">
        <w:t>veriteľa</w:t>
      </w:r>
      <w:r>
        <w:t xml:space="preserve"> alebo dlžníka</w:t>
      </w:r>
      <w:r w:rsidR="00CC446A">
        <w:t xml:space="preserve">, </w:t>
      </w:r>
      <w:r>
        <w:t>Zánik záväzku uplynutím času a</w:t>
      </w:r>
      <w:r w:rsidR="00CC446A">
        <w:t> </w:t>
      </w:r>
      <w:r>
        <w:t>splynutím</w:t>
      </w:r>
      <w:r w:rsidR="00CC446A">
        <w:t xml:space="preserve"> a </w:t>
      </w:r>
      <w:r w:rsidR="00364D1E">
        <w:t>Nemožnosť</w:t>
      </w:r>
      <w:r>
        <w:t xml:space="preserve"> plnenia</w:t>
      </w:r>
    </w:p>
    <w:p w14:paraId="117677FA" w14:textId="18F170DE" w:rsidR="009F4F1A" w:rsidRDefault="00ED1B9F" w:rsidP="00BD1819">
      <w:pPr>
        <w:numPr>
          <w:ilvl w:val="0"/>
          <w:numId w:val="6"/>
        </w:numPr>
        <w:ind w:left="567"/>
      </w:pPr>
      <w:r>
        <w:t>Spotrebiteľské záväzkovo-právne vzťahy</w:t>
      </w:r>
      <w:r w:rsidR="00BD1819">
        <w:t xml:space="preserve"> a s</w:t>
      </w:r>
      <w:r w:rsidR="00364D1E">
        <w:t>potrebiteľská</w:t>
      </w:r>
      <w:r w:rsidR="00BA7249">
        <w:t xml:space="preserve"> zmluva</w:t>
      </w:r>
    </w:p>
    <w:p w14:paraId="0183A847" w14:textId="31E502B7" w:rsidR="00BD1819" w:rsidRDefault="00BD1819" w:rsidP="00BD1819">
      <w:pPr>
        <w:numPr>
          <w:ilvl w:val="0"/>
          <w:numId w:val="6"/>
        </w:numPr>
        <w:ind w:left="567"/>
      </w:pPr>
      <w:r>
        <w:t>Právne prostriedky ochrany spotrebiteľa</w:t>
      </w:r>
    </w:p>
    <w:p w14:paraId="08E56C6B" w14:textId="795F8DC9" w:rsidR="009F4F1A" w:rsidRDefault="00364D1E" w:rsidP="00E91C11">
      <w:pPr>
        <w:numPr>
          <w:ilvl w:val="0"/>
          <w:numId w:val="6"/>
        </w:numPr>
        <w:ind w:left="567"/>
      </w:pPr>
      <w:r>
        <w:t>Neprijateľné</w:t>
      </w:r>
      <w:r w:rsidR="00BA7249">
        <w:t xml:space="preserve"> podmienky v </w:t>
      </w:r>
      <w:r>
        <w:t>spotrebiteľských</w:t>
      </w:r>
      <w:r w:rsidR="00BA7249">
        <w:t xml:space="preserve"> zmluvách</w:t>
      </w:r>
    </w:p>
    <w:p w14:paraId="74B816A1" w14:textId="77777777" w:rsidR="00153720" w:rsidRDefault="00153720" w:rsidP="00E91C11">
      <w:pPr>
        <w:numPr>
          <w:ilvl w:val="0"/>
          <w:numId w:val="6"/>
        </w:numPr>
        <w:ind w:left="567"/>
      </w:pPr>
      <w:r>
        <w:t>Zodpovednosť v Občianskom práve</w:t>
      </w:r>
    </w:p>
    <w:p w14:paraId="2E2B51C3" w14:textId="7DC4996F" w:rsidR="00153720" w:rsidRDefault="00153720" w:rsidP="00E91C11">
      <w:pPr>
        <w:numPr>
          <w:ilvl w:val="0"/>
          <w:numId w:val="6"/>
        </w:numPr>
        <w:ind w:left="567"/>
      </w:pPr>
      <w:r>
        <w:t xml:space="preserve">Všeobecná zodpovednosť za vady </w:t>
      </w:r>
    </w:p>
    <w:p w14:paraId="7A3F34AD" w14:textId="2D06BCBF" w:rsidR="00153720" w:rsidRDefault="00153720" w:rsidP="00E91C11">
      <w:pPr>
        <w:numPr>
          <w:ilvl w:val="0"/>
          <w:numId w:val="6"/>
        </w:numPr>
        <w:ind w:left="567"/>
      </w:pPr>
      <w:r>
        <w:t>Zodpovednosť za vady pri spotrebiteľskej kúpnej zmluve</w:t>
      </w:r>
      <w:bookmarkStart w:id="0" w:name="_GoBack"/>
      <w:bookmarkEnd w:id="0"/>
    </w:p>
    <w:p w14:paraId="50AA1115" w14:textId="4313876A" w:rsidR="00153720" w:rsidRDefault="00153720" w:rsidP="00E91C11">
      <w:pPr>
        <w:numPr>
          <w:ilvl w:val="0"/>
          <w:numId w:val="6"/>
        </w:numPr>
        <w:ind w:left="567"/>
      </w:pPr>
      <w:r>
        <w:t>Zodpovednosť za škodu – všeobecne</w:t>
      </w:r>
    </w:p>
    <w:p w14:paraId="5F3EC16D" w14:textId="6CB2265A" w:rsidR="0017452E" w:rsidRDefault="0017452E" w:rsidP="00E91C11">
      <w:pPr>
        <w:numPr>
          <w:ilvl w:val="0"/>
          <w:numId w:val="6"/>
        </w:numPr>
        <w:ind w:left="567"/>
      </w:pPr>
      <w:r>
        <w:t>Subjekty zodpovednosti za škodu, deliktuálna spôsobilosť, pluralita subjektov</w:t>
      </w:r>
    </w:p>
    <w:p w14:paraId="17F9C1A3" w14:textId="2AAE0D46" w:rsidR="00153720" w:rsidRDefault="00153720" w:rsidP="00153720">
      <w:pPr>
        <w:numPr>
          <w:ilvl w:val="0"/>
          <w:numId w:val="6"/>
        </w:numPr>
        <w:ind w:left="567"/>
      </w:pPr>
      <w:r>
        <w:t>Predpoklady zodpovednosti za škodu</w:t>
      </w:r>
      <w:r w:rsidR="0017452E">
        <w:t xml:space="preserve"> a Okolnosti vylučujúce protiprávnosť</w:t>
      </w:r>
    </w:p>
    <w:p w14:paraId="797A3835" w14:textId="2585CDBC" w:rsidR="00153720" w:rsidRDefault="00153720" w:rsidP="00E91C11">
      <w:pPr>
        <w:numPr>
          <w:ilvl w:val="0"/>
          <w:numId w:val="6"/>
        </w:numPr>
        <w:ind w:left="567"/>
      </w:pPr>
      <w:r>
        <w:t xml:space="preserve">Škoda na majetku </w:t>
      </w:r>
    </w:p>
    <w:p w14:paraId="193278C5" w14:textId="6386372C" w:rsidR="00153720" w:rsidRDefault="00153720" w:rsidP="00E91C11">
      <w:pPr>
        <w:numPr>
          <w:ilvl w:val="0"/>
          <w:numId w:val="6"/>
        </w:numPr>
        <w:ind w:left="567"/>
      </w:pPr>
      <w:r>
        <w:t>Škoda na zdraví</w:t>
      </w:r>
    </w:p>
    <w:p w14:paraId="59127D6D" w14:textId="39A5FB73" w:rsidR="0017452E" w:rsidRDefault="0017452E" w:rsidP="00E91C11">
      <w:pPr>
        <w:numPr>
          <w:ilvl w:val="0"/>
          <w:numId w:val="6"/>
        </w:numPr>
        <w:ind w:left="567"/>
      </w:pPr>
      <w:r>
        <w:t xml:space="preserve">Zodpovednosť za škodu spôsobenú zavineným protiprávnym konaním </w:t>
      </w:r>
    </w:p>
    <w:p w14:paraId="5D605CA8" w14:textId="77777777" w:rsidR="00BD1819" w:rsidRDefault="00BD1819" w:rsidP="00BD1819">
      <w:pPr>
        <w:numPr>
          <w:ilvl w:val="0"/>
          <w:numId w:val="6"/>
        </w:numPr>
        <w:ind w:left="567"/>
      </w:pPr>
      <w:r>
        <w:lastRenderedPageBreak/>
        <w:t xml:space="preserve">Zodpovednosť za škodu spôsobenú prevádzkovou činnosťou </w:t>
      </w:r>
    </w:p>
    <w:p w14:paraId="0689AA94" w14:textId="117E1799" w:rsidR="00BD1819" w:rsidRDefault="00BD1819" w:rsidP="00BD1819">
      <w:pPr>
        <w:numPr>
          <w:ilvl w:val="0"/>
          <w:numId w:val="6"/>
        </w:numPr>
        <w:ind w:left="567"/>
      </w:pPr>
      <w:r>
        <w:t>Zodpovednosť za škodu na prevzatej veci a zodpovednosť za škodu spôsobenú povahou veci alebo prístroja použitých pri plnení záväzku</w:t>
      </w:r>
    </w:p>
    <w:p w14:paraId="6BE7B7EF" w14:textId="5CBDFCC9" w:rsidR="0017452E" w:rsidRDefault="0017452E" w:rsidP="00E91C11">
      <w:pPr>
        <w:numPr>
          <w:ilvl w:val="0"/>
          <w:numId w:val="6"/>
        </w:numPr>
        <w:ind w:left="567"/>
      </w:pPr>
      <w:r>
        <w:t xml:space="preserve">Zodpovednosť za </w:t>
      </w:r>
      <w:r w:rsidR="00BD1819">
        <w:t xml:space="preserve">škodu spôsobenú </w:t>
      </w:r>
      <w:r w:rsidR="00BD1819" w:rsidRPr="00BD1819">
        <w:t>tými, ktorí nemôžu posúdiť následky svojho konania</w:t>
      </w:r>
      <w:r>
        <w:t xml:space="preserve">. </w:t>
      </w:r>
    </w:p>
    <w:p w14:paraId="4F5DA45E" w14:textId="77777777" w:rsidR="0017452E" w:rsidRDefault="0017452E" w:rsidP="00E91C11">
      <w:pPr>
        <w:numPr>
          <w:ilvl w:val="0"/>
          <w:numId w:val="6"/>
        </w:numPr>
        <w:ind w:left="567"/>
      </w:pPr>
      <w:r>
        <w:t xml:space="preserve">Zodpovednosť za škodu spôsobenú povahou prevádzky dopravného prostriedku a zodpovednosť za škodu spôsobenú zvlášť nebezpečnou prevádzkou </w:t>
      </w:r>
    </w:p>
    <w:p w14:paraId="24F19140" w14:textId="77777777" w:rsidR="0017452E" w:rsidRDefault="0017452E" w:rsidP="00E91C11">
      <w:pPr>
        <w:numPr>
          <w:ilvl w:val="0"/>
          <w:numId w:val="6"/>
        </w:numPr>
        <w:ind w:left="567"/>
      </w:pPr>
      <w:r>
        <w:t xml:space="preserve">Zodpovednosť za škodu spôsobenú pri výkone verejnej moci </w:t>
      </w:r>
    </w:p>
    <w:p w14:paraId="11B406A7" w14:textId="77777777" w:rsidR="0017452E" w:rsidRDefault="0017452E" w:rsidP="00E91C11">
      <w:pPr>
        <w:numPr>
          <w:ilvl w:val="0"/>
          <w:numId w:val="6"/>
        </w:numPr>
        <w:ind w:left="567"/>
      </w:pPr>
      <w:r>
        <w:t>Zodpovednosť za vnesené a odložené veci</w:t>
      </w:r>
    </w:p>
    <w:p w14:paraId="10276CF3" w14:textId="77777777" w:rsidR="0017452E" w:rsidRDefault="0017452E" w:rsidP="00E91C11">
      <w:pPr>
        <w:numPr>
          <w:ilvl w:val="0"/>
          <w:numId w:val="6"/>
        </w:numPr>
        <w:ind w:left="567"/>
      </w:pPr>
      <w:r>
        <w:t>Zodpovednosť za škodu spôsobenú vadným výrobkom</w:t>
      </w:r>
    </w:p>
    <w:p w14:paraId="13988718" w14:textId="77777777" w:rsidR="0017452E" w:rsidRDefault="0017452E" w:rsidP="00E91C11">
      <w:pPr>
        <w:numPr>
          <w:ilvl w:val="0"/>
          <w:numId w:val="6"/>
        </w:numPr>
        <w:ind w:left="567"/>
      </w:pPr>
      <w:r>
        <w:t>Premlčanie práva na náhradu škody a prekluzívne lehoty vo vzťahu k uplatneniu práva na náhradu škody</w:t>
      </w:r>
    </w:p>
    <w:p w14:paraId="580795BF" w14:textId="22B1A1CA" w:rsidR="00153720" w:rsidRDefault="00153720" w:rsidP="00E91C11">
      <w:pPr>
        <w:numPr>
          <w:ilvl w:val="0"/>
          <w:numId w:val="6"/>
        </w:numPr>
        <w:ind w:left="567"/>
      </w:pPr>
      <w:r>
        <w:t>Bezdôvodné obohatenie</w:t>
      </w:r>
    </w:p>
    <w:p w14:paraId="148D81CD" w14:textId="77777777" w:rsidR="00107942" w:rsidRDefault="00107942" w:rsidP="00107942">
      <w:pPr>
        <w:spacing w:after="115"/>
        <w:ind w:left="19" w:firstLine="0"/>
      </w:pPr>
    </w:p>
    <w:p w14:paraId="13B9607B" w14:textId="77777777" w:rsidR="00107942" w:rsidRDefault="00107942" w:rsidP="00107942">
      <w:pPr>
        <w:spacing w:after="115"/>
      </w:pPr>
    </w:p>
    <w:sectPr w:rsidR="00107942" w:rsidSect="00BD1819">
      <w:pgSz w:w="11920" w:h="16840"/>
      <w:pgMar w:top="1317" w:right="1288" w:bottom="20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D6C29"/>
    <w:multiLevelType w:val="hybridMultilevel"/>
    <w:tmpl w:val="4E94D970"/>
    <w:lvl w:ilvl="0" w:tplc="2AC083A0">
      <w:start w:val="1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66384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F4B3D8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E240DC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DCC24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200D2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28FED4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18BA5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58C2A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D65C1"/>
    <w:multiLevelType w:val="hybridMultilevel"/>
    <w:tmpl w:val="F3188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C3CBB"/>
    <w:multiLevelType w:val="hybridMultilevel"/>
    <w:tmpl w:val="0CCA0CFE"/>
    <w:lvl w:ilvl="0" w:tplc="52A877CC">
      <w:start w:val="57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7AB942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2C54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41AFA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CF2D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E8D73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8E06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245A16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C4D09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B95A02"/>
    <w:multiLevelType w:val="hybridMultilevel"/>
    <w:tmpl w:val="6B9841A6"/>
    <w:lvl w:ilvl="0" w:tplc="EE642ECE">
      <w:start w:val="64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6E88C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4F0C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A918E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CAF79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24DA6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4067C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70390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4117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FA3BBF"/>
    <w:multiLevelType w:val="hybridMultilevel"/>
    <w:tmpl w:val="7F88F4B0"/>
    <w:lvl w:ilvl="0" w:tplc="87E2923C">
      <w:start w:val="93"/>
      <w:numFmt w:val="decimal"/>
      <w:lvlText w:val="%1.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037F0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C0BED8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B2105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E39A6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B692F2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F0DF2A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E4EEC2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689FA4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89415D"/>
    <w:multiLevelType w:val="hybridMultilevel"/>
    <w:tmpl w:val="847CF5FC"/>
    <w:lvl w:ilvl="0" w:tplc="661E0112">
      <w:start w:val="7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E0AF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4A0BE4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1C8348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6CB20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01074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3A93B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7CBB16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06CF6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1A"/>
    <w:rsid w:val="00107942"/>
    <w:rsid w:val="00153720"/>
    <w:rsid w:val="0017452E"/>
    <w:rsid w:val="001E42E9"/>
    <w:rsid w:val="00364D1E"/>
    <w:rsid w:val="00677AE1"/>
    <w:rsid w:val="00747A50"/>
    <w:rsid w:val="007F5C2D"/>
    <w:rsid w:val="009D710D"/>
    <w:rsid w:val="009F4F1A"/>
    <w:rsid w:val="00A72473"/>
    <w:rsid w:val="00AF5E83"/>
    <w:rsid w:val="00BA7249"/>
    <w:rsid w:val="00BC1980"/>
    <w:rsid w:val="00BD1819"/>
    <w:rsid w:val="00BE51B0"/>
    <w:rsid w:val="00C60924"/>
    <w:rsid w:val="00CC3850"/>
    <w:rsid w:val="00CC446A"/>
    <w:rsid w:val="00E1683B"/>
    <w:rsid w:val="00E91C11"/>
    <w:rsid w:val="00ED1B9F"/>
    <w:rsid w:val="00F10FB3"/>
    <w:rsid w:val="00F27F4A"/>
    <w:rsid w:val="00F72B98"/>
    <w:rsid w:val="00FA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02F3C"/>
  <w15:docId w15:val="{07150A1B-FCD2-4755-8B37-86A1DAEA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4" w:line="252" w:lineRule="auto"/>
      <w:ind w:left="39" w:hanging="5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A72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2473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basedOn w:val="Normlny"/>
    <w:uiPriority w:val="34"/>
    <w:qFormat/>
    <w:rsid w:val="00E91C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ff9c9c-d1d1-4ad4-b98b-a1e429329ca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77E77680126C4FBACE01BA70F0AFC8" ma:contentTypeVersion="17" ma:contentTypeDescription="Umožňuje vytvoriť nový dokument." ma:contentTypeScope="" ma:versionID="87a6c538adb46877e0562deacf8df174">
  <xsd:schema xmlns:xsd="http://www.w3.org/2001/XMLSchema" xmlns:xs="http://www.w3.org/2001/XMLSchema" xmlns:p="http://schemas.microsoft.com/office/2006/metadata/properties" xmlns:ns3="f629074b-5f86-4ec2-b08b-52a31dec5509" xmlns:ns4="faff9c9c-d1d1-4ad4-b98b-a1e429329ca9" targetNamespace="http://schemas.microsoft.com/office/2006/metadata/properties" ma:root="true" ma:fieldsID="ff75f4e323ea0b9d1fd8fdc8a744b0a5" ns3:_="" ns4:_="">
    <xsd:import namespace="f629074b-5f86-4ec2-b08b-52a31dec5509"/>
    <xsd:import namespace="faff9c9c-d1d1-4ad4-b98b-a1e429329c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9074b-5f86-4ec2-b08b-52a31dec55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Naposledy zdieľal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f9c9c-d1d1-4ad4-b98b-a1e429329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F86C80-930F-4D0F-BB5A-FC6039D56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C66CE-D3D3-471D-8C02-DE9BD219E960}">
  <ds:schemaRefs>
    <ds:schemaRef ds:uri="http://schemas.microsoft.com/office/2006/metadata/properties"/>
    <ds:schemaRef ds:uri="http://schemas.microsoft.com/office/infopath/2007/PartnerControls"/>
    <ds:schemaRef ds:uri="faff9c9c-d1d1-4ad4-b98b-a1e429329ca9"/>
  </ds:schemaRefs>
</ds:datastoreItem>
</file>

<file path=customXml/itemProps3.xml><?xml version="1.0" encoding="utf-8"?>
<ds:datastoreItem xmlns:ds="http://schemas.openxmlformats.org/officeDocument/2006/customXml" ds:itemID="{95462C42-CD64-4864-B445-74A2E39D0D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9074b-5f86-4ec2-b08b-52a31dec5509"/>
    <ds:schemaRef ds:uri="faff9c9c-d1d1-4ad4-b98b-a1e429329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</dc:creator>
  <cp:keywords/>
  <cp:lastModifiedBy>Helena Vaľková</cp:lastModifiedBy>
  <cp:revision>2</cp:revision>
  <cp:lastPrinted>2023-09-11T05:43:00Z</cp:lastPrinted>
  <dcterms:created xsi:type="dcterms:W3CDTF">2025-05-13T08:00:00Z</dcterms:created>
  <dcterms:modified xsi:type="dcterms:W3CDTF">2025-05-13T08:00:00Z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0x0101006A77E77680126C4FBACE01BA70F0AFC8</vt:lpwstr>
  </property>
</Properties>
</file>