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65771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3F45D3">
        <w:rPr>
          <w:rFonts w:cs="Times New Roman"/>
          <w:b/>
          <w:sz w:val="28"/>
          <w:szCs w:val="28"/>
        </w:rPr>
        <w:t>Univerzita Pavla Jozefa Šafárika v Košiciach</w:t>
      </w:r>
    </w:p>
    <w:p w14:paraId="4F1549F7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Právnická fakulta</w:t>
      </w:r>
    </w:p>
    <w:p w14:paraId="7EC3603E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Katedra občianskeho práva</w:t>
      </w:r>
    </w:p>
    <w:p w14:paraId="285030B9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2769E8F9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251B620A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OTÁZKY NA ÚSTNU POSTUPOVÚ SKÚŠKU</w:t>
      </w:r>
    </w:p>
    <w:p w14:paraId="268CDB59" w14:textId="4438EE2B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Z</w:t>
      </w:r>
      <w:r>
        <w:rPr>
          <w:rFonts w:cs="Times New Roman"/>
          <w:b/>
          <w:sz w:val="28"/>
          <w:szCs w:val="28"/>
        </w:rPr>
        <w:t> </w:t>
      </w:r>
      <w:r w:rsidRPr="003F45D3">
        <w:rPr>
          <w:rFonts w:cs="Times New Roman"/>
          <w:b/>
          <w:sz w:val="28"/>
          <w:szCs w:val="28"/>
        </w:rPr>
        <w:t>PREDMETU</w:t>
      </w:r>
      <w:r>
        <w:rPr>
          <w:rFonts w:cs="Times New Roman"/>
          <w:b/>
          <w:sz w:val="28"/>
          <w:szCs w:val="28"/>
        </w:rPr>
        <w:t xml:space="preserve"> CIVILNÉ</w:t>
      </w:r>
      <w:r w:rsidRPr="003F45D3">
        <w:rPr>
          <w:rFonts w:cs="Times New Roman"/>
          <w:b/>
          <w:sz w:val="28"/>
          <w:szCs w:val="28"/>
        </w:rPr>
        <w:t xml:space="preserve"> PRÁVO PROCESNÉ </w:t>
      </w:r>
      <w:r w:rsidR="00796378">
        <w:rPr>
          <w:rFonts w:cs="Times New Roman"/>
          <w:b/>
          <w:sz w:val="28"/>
          <w:szCs w:val="28"/>
        </w:rPr>
        <w:t xml:space="preserve"> I</w:t>
      </w:r>
    </w:p>
    <w:p w14:paraId="04C7A447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79F5DB15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67E2A3AC" w14:textId="77777777" w:rsidR="00657D5C" w:rsidRPr="003F45D3" w:rsidRDefault="00657D5C" w:rsidP="00657D5C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3F45D3">
        <w:rPr>
          <w:rFonts w:cs="Times New Roman"/>
          <w:b/>
          <w:sz w:val="24"/>
          <w:szCs w:val="24"/>
        </w:rPr>
        <w:t xml:space="preserve">. ročník </w:t>
      </w:r>
      <w:r>
        <w:rPr>
          <w:rFonts w:cs="Times New Roman"/>
          <w:b/>
          <w:sz w:val="24"/>
          <w:szCs w:val="24"/>
        </w:rPr>
        <w:t>magisterské</w:t>
      </w:r>
      <w:r w:rsidRPr="003F45D3">
        <w:rPr>
          <w:rFonts w:cs="Times New Roman"/>
          <w:b/>
          <w:sz w:val="24"/>
          <w:szCs w:val="24"/>
        </w:rPr>
        <w:t>ho štúdia, zimný semester</w:t>
      </w:r>
    </w:p>
    <w:p w14:paraId="7CADDED0" w14:textId="75CDA1BA" w:rsidR="00657D5C" w:rsidRPr="003F45D3" w:rsidRDefault="005B5AFF" w:rsidP="00657D5C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akademický rok </w:t>
      </w:r>
      <w:r w:rsidR="00796378">
        <w:rPr>
          <w:rFonts w:cs="Times New Roman"/>
          <w:b/>
          <w:sz w:val="24"/>
          <w:szCs w:val="24"/>
        </w:rPr>
        <w:t xml:space="preserve"> 202</w:t>
      </w:r>
      <w:r w:rsidR="003C1071">
        <w:rPr>
          <w:rFonts w:cs="Times New Roman"/>
          <w:b/>
          <w:sz w:val="24"/>
          <w:szCs w:val="24"/>
        </w:rPr>
        <w:t>4/2025</w:t>
      </w:r>
    </w:p>
    <w:p w14:paraId="3D095C3D" w14:textId="77777777" w:rsidR="00657D5C" w:rsidRPr="003F45D3" w:rsidRDefault="00657D5C" w:rsidP="00657D5C">
      <w:pPr>
        <w:spacing w:line="240" w:lineRule="auto"/>
        <w:rPr>
          <w:rFonts w:cs="Times New Roman"/>
          <w:b/>
          <w:sz w:val="24"/>
          <w:szCs w:val="24"/>
        </w:rPr>
      </w:pPr>
    </w:p>
    <w:p w14:paraId="57617865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Procesné dokazovanie v spore a mimospore – základné princípy </w:t>
      </w:r>
    </w:p>
    <w:p w14:paraId="51549E0C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Základné pojmy dôkazného práva</w:t>
      </w:r>
    </w:p>
    <w:p w14:paraId="364006A8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Predmet a limity procesného dokazovania</w:t>
      </w:r>
    </w:p>
    <w:p w14:paraId="514C1BC5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Štádiá procesného dokazovania</w:t>
      </w:r>
    </w:p>
    <w:p w14:paraId="6FD22C01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Výsluch strany a výsluch svedka</w:t>
      </w:r>
    </w:p>
    <w:p w14:paraId="6CEF2197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Dôkaz listinou a obhliadka v civilnom procese</w:t>
      </w:r>
    </w:p>
    <w:p w14:paraId="2CE8882E" w14:textId="77777777" w:rsidR="00657D5C" w:rsidRPr="00116ED9" w:rsidRDefault="007471CD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Odborné vyjadrenie a znalecké dokazovanie</w:t>
      </w:r>
    </w:p>
    <w:p w14:paraId="6FBD1CF5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Predmet a základ súdneho rozhodnutia</w:t>
      </w:r>
    </w:p>
    <w:p w14:paraId="450CD173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Štádiá súdneho rozhodovania</w:t>
      </w:r>
    </w:p>
    <w:p w14:paraId="17CBF8BB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Rozsudok konečný, čiastočný a medzitýmny</w:t>
      </w:r>
    </w:p>
    <w:p w14:paraId="0711CA25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Rozsudky pre zmeškanie</w:t>
      </w:r>
    </w:p>
    <w:p w14:paraId="5084A75C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Rozsudok na základe uznania nároku a vzdania sa nároku</w:t>
      </w:r>
    </w:p>
    <w:p w14:paraId="0C155DED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Uznesenie </w:t>
      </w:r>
    </w:p>
    <w:p w14:paraId="2AC0F6FC" w14:textId="77777777" w:rsidR="007471CD" w:rsidRPr="00116ED9" w:rsidRDefault="007471CD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Sťažnosť proti uzneseniu</w:t>
      </w:r>
    </w:p>
    <w:p w14:paraId="47CFE9A1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Platobný rozkaz</w:t>
      </w:r>
    </w:p>
    <w:p w14:paraId="0E42954A" w14:textId="77777777" w:rsidR="00657D5C" w:rsidRPr="00116ED9" w:rsidRDefault="007471CD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E</w:t>
      </w:r>
      <w:r w:rsidR="00657D5C" w:rsidRPr="00116ED9">
        <w:rPr>
          <w:rFonts w:cs="Times New Roman"/>
          <w:sz w:val="24"/>
          <w:szCs w:val="24"/>
        </w:rPr>
        <w:t>urópsk</w:t>
      </w:r>
      <w:r w:rsidRPr="00116ED9">
        <w:rPr>
          <w:rFonts w:cs="Times New Roman"/>
          <w:sz w:val="24"/>
          <w:szCs w:val="24"/>
        </w:rPr>
        <w:t>y platobný rozkaz</w:t>
      </w:r>
    </w:p>
    <w:p w14:paraId="2B65FC85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Právoplatnosť súdnych rozhodnutí</w:t>
      </w:r>
    </w:p>
    <w:p w14:paraId="02953C7B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Vykonateľnosť súdnych rozhodnutí</w:t>
      </w:r>
    </w:p>
    <w:p w14:paraId="323DFD12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Trovy v sporovom konaní – vymedzenie, platenie, náhrada. </w:t>
      </w:r>
    </w:p>
    <w:p w14:paraId="0F2272D6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Trovy v mimosporovom konaní – vymedzenie, platenie, náhrada. </w:t>
      </w:r>
    </w:p>
    <w:p w14:paraId="379C3750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Súdne poplatky</w:t>
      </w:r>
    </w:p>
    <w:p w14:paraId="7F02BB0B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Osobitosti sporov s ochranou slabšej strany</w:t>
      </w:r>
    </w:p>
    <w:p w14:paraId="26CEA409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Neodkladné opatrenia a zabezpečovacie opatrenia</w:t>
      </w:r>
      <w:r w:rsidR="00F80F74" w:rsidRPr="00116ED9">
        <w:rPr>
          <w:rFonts w:cs="Times New Roman"/>
          <w:sz w:val="24"/>
          <w:szCs w:val="24"/>
        </w:rPr>
        <w:t xml:space="preserve"> v spore</w:t>
      </w:r>
    </w:p>
    <w:p w14:paraId="6077BDAA" w14:textId="77777777" w:rsidR="00F80F74" w:rsidRPr="00116ED9" w:rsidRDefault="00F80F74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Neodkladné opatrenia v mimospore</w:t>
      </w:r>
    </w:p>
    <w:p w14:paraId="6CB41F23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Zabezpečenie dôkazu a zabezpečenie dôkazného prostriedku</w:t>
      </w:r>
    </w:p>
    <w:p w14:paraId="551B6FA2" w14:textId="77777777" w:rsidR="007471CD" w:rsidRPr="00116ED9" w:rsidRDefault="007471CD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Osobitosti </w:t>
      </w:r>
      <w:r w:rsidR="00F80F74" w:rsidRPr="00116ED9">
        <w:rPr>
          <w:rFonts w:cs="Times New Roman"/>
          <w:sz w:val="24"/>
          <w:szCs w:val="24"/>
        </w:rPr>
        <w:t>mimosporového konania</w:t>
      </w:r>
    </w:p>
    <w:p w14:paraId="189685AD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 v</w:t>
      </w:r>
      <w:r w:rsidR="00F80F74" w:rsidRPr="00116ED9">
        <w:rPr>
          <w:rFonts w:cs="Times New Roman"/>
          <w:sz w:val="24"/>
          <w:szCs w:val="24"/>
        </w:rPr>
        <w:t> manželský</w:t>
      </w:r>
      <w:r w:rsidRPr="00116ED9">
        <w:rPr>
          <w:rFonts w:cs="Times New Roman"/>
          <w:sz w:val="24"/>
          <w:szCs w:val="24"/>
        </w:rPr>
        <w:t>ch veciach</w:t>
      </w:r>
    </w:p>
    <w:p w14:paraId="6192FFEF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lastRenderedPageBreak/>
        <w:t>Konania vo veciach starostlivosti súdu o maloletých a konanie o návrat maloletého do cudziny</w:t>
      </w:r>
    </w:p>
    <w:p w14:paraId="5F71559B" w14:textId="77777777" w:rsidR="00F80F74" w:rsidRPr="00116ED9" w:rsidRDefault="00F80F74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 vo veciach osvojenia</w:t>
      </w:r>
    </w:p>
    <w:p w14:paraId="19EDF6B9" w14:textId="77777777" w:rsidR="00F80F74" w:rsidRPr="00116ED9" w:rsidRDefault="00F80F74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vo veciach výživného plnoletých osôb</w:t>
      </w:r>
    </w:p>
    <w:p w14:paraId="591EE1C2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Priebeh konania o dedičstve</w:t>
      </w:r>
    </w:p>
    <w:p w14:paraId="10C7C56B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Úkony súdu a notára v konaní o dedičstve</w:t>
      </w:r>
    </w:p>
    <w:p w14:paraId="5AED4999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Spory o dedičské právo a vyporiadanie BSM v konaní o dedičstve</w:t>
      </w:r>
    </w:p>
    <w:p w14:paraId="5C2D6778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Rozhodnutia, ktorými končí konanie o dedičstve</w:t>
      </w:r>
    </w:p>
    <w:p w14:paraId="54E74E38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Likvidácia dedičstva</w:t>
      </w:r>
    </w:p>
    <w:p w14:paraId="48B09C33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o vyhlásenie za mŕtveho</w:t>
      </w:r>
    </w:p>
    <w:p w14:paraId="3A6532E9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Konanie o spôsobilosti na právne úkony </w:t>
      </w:r>
    </w:p>
    <w:p w14:paraId="575EDB13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o prípustnosti prevzatia a držania v zdravotníckom zariadení</w:t>
      </w:r>
    </w:p>
    <w:p w14:paraId="6D075E36" w14:textId="77777777" w:rsidR="00F80F74" w:rsidRPr="00116ED9" w:rsidRDefault="00F80F74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Konanie o ustanovení opatrovníka </w:t>
      </w:r>
    </w:p>
    <w:p w14:paraId="4EB6368D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</w:t>
      </w:r>
      <w:r w:rsidR="00F80F74" w:rsidRPr="00116ED9">
        <w:rPr>
          <w:rFonts w:cs="Times New Roman"/>
          <w:sz w:val="24"/>
          <w:szCs w:val="24"/>
        </w:rPr>
        <w:t>ania</w:t>
      </w:r>
      <w:r w:rsidRPr="00116ED9">
        <w:rPr>
          <w:rFonts w:cs="Times New Roman"/>
          <w:sz w:val="24"/>
          <w:szCs w:val="24"/>
        </w:rPr>
        <w:t xml:space="preserve"> vo veciach obchodného registra</w:t>
      </w:r>
    </w:p>
    <w:p w14:paraId="3F579FA8" w14:textId="77777777" w:rsidR="00F80F74" w:rsidRPr="00116ED9" w:rsidRDefault="00F80F74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 v niektorých veciach právnických osôb</w:t>
      </w:r>
    </w:p>
    <w:p w14:paraId="1F94C11B" w14:textId="77777777" w:rsidR="00657D5C" w:rsidRPr="00116ED9" w:rsidRDefault="00657D5C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o umorenie listiny</w:t>
      </w:r>
    </w:p>
    <w:p w14:paraId="28C0F0D1" w14:textId="7FF2027F" w:rsidR="00657D5C" w:rsidRPr="00116ED9" w:rsidRDefault="00F80F74" w:rsidP="00116ED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</w:t>
      </w:r>
      <w:r w:rsidR="00657D5C" w:rsidRPr="00116ED9">
        <w:rPr>
          <w:rFonts w:cs="Times New Roman"/>
          <w:sz w:val="24"/>
          <w:szCs w:val="24"/>
        </w:rPr>
        <w:t xml:space="preserve"> vo veciach notárskych úschov</w:t>
      </w:r>
    </w:p>
    <w:p w14:paraId="61820010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Opravné systémy v civilnom procese</w:t>
      </w:r>
    </w:p>
    <w:p w14:paraId="534947D1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Predpoklady prípustnosti odvolania</w:t>
      </w:r>
    </w:p>
    <w:p w14:paraId="3D550D3E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Odvolacie dôvody</w:t>
      </w:r>
    </w:p>
    <w:p w14:paraId="02E9E815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Novoty a koncentrácia v odvolacom konaní</w:t>
      </w:r>
    </w:p>
    <w:p w14:paraId="627917F6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Priebeh odvolacieho konania a spôsoby rozhodnutia odvolacieho súdu</w:t>
      </w:r>
    </w:p>
    <w:p w14:paraId="5A992A42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Predpoklady prípustnosti žaloby na obnovu konania</w:t>
      </w:r>
    </w:p>
    <w:p w14:paraId="40F71A6A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 xml:space="preserve">Dôvody žaloby na obnovu konania </w:t>
      </w:r>
    </w:p>
    <w:p w14:paraId="62BD38AF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Priebeh konania o žalobe na obnovu konania a spôsoby rozhodnutia súdu</w:t>
      </w:r>
    </w:p>
    <w:p w14:paraId="10348C29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Predpoklady prípustnosti dovolania</w:t>
      </w:r>
    </w:p>
    <w:p w14:paraId="4AF1BAAA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Dovolacie dôvody</w:t>
      </w:r>
    </w:p>
    <w:p w14:paraId="3692E752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Priebeh dovolacieho konania a spôsoby rozhodnutia dovolacieho súdu</w:t>
      </w:r>
    </w:p>
    <w:p w14:paraId="3CC10D48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Dovolanie generálneho prokurátora podľa CSP</w:t>
      </w:r>
    </w:p>
    <w:p w14:paraId="55274A7D" w14:textId="77777777" w:rsidR="00796378" w:rsidRPr="00116ED9" w:rsidRDefault="00796378" w:rsidP="00116ED9">
      <w:pPr>
        <w:pStyle w:val="ListParagraph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Dovolanie generálneho prokurátora podľa CMP</w:t>
      </w:r>
    </w:p>
    <w:p w14:paraId="0256B0F6" w14:textId="77777777" w:rsidR="00796378" w:rsidRPr="00796378" w:rsidRDefault="00796378" w:rsidP="00796378">
      <w:pPr>
        <w:spacing w:line="240" w:lineRule="auto"/>
        <w:rPr>
          <w:rFonts w:cs="Times New Roman"/>
          <w:sz w:val="24"/>
          <w:szCs w:val="24"/>
        </w:rPr>
      </w:pPr>
    </w:p>
    <w:p w14:paraId="0CE34AC2" w14:textId="77777777" w:rsidR="00657D5C" w:rsidRPr="00115DC6" w:rsidRDefault="00657D5C" w:rsidP="00657D5C">
      <w:pPr>
        <w:spacing w:line="240" w:lineRule="auto"/>
        <w:ind w:left="360"/>
        <w:rPr>
          <w:rFonts w:cs="Times New Roman"/>
          <w:sz w:val="24"/>
          <w:szCs w:val="24"/>
        </w:rPr>
      </w:pPr>
    </w:p>
    <w:p w14:paraId="06B7BD3C" w14:textId="77777777" w:rsidR="00657D5C" w:rsidRPr="003F45D3" w:rsidRDefault="00657D5C" w:rsidP="00657D5C">
      <w:pPr>
        <w:jc w:val="center"/>
        <w:rPr>
          <w:rFonts w:cs="Times New Roman"/>
          <w:b/>
          <w:sz w:val="24"/>
          <w:szCs w:val="24"/>
        </w:rPr>
      </w:pPr>
    </w:p>
    <w:p w14:paraId="51E36895" w14:textId="77777777" w:rsidR="00657D5C" w:rsidRPr="003F45D3" w:rsidRDefault="00657D5C" w:rsidP="00657D5C">
      <w:pPr>
        <w:jc w:val="center"/>
        <w:rPr>
          <w:rFonts w:cs="Times New Roman"/>
          <w:b/>
          <w:sz w:val="24"/>
          <w:szCs w:val="24"/>
        </w:rPr>
      </w:pPr>
    </w:p>
    <w:p w14:paraId="1C300867" w14:textId="77777777" w:rsidR="006B040B" w:rsidRDefault="006B040B"/>
    <w:sectPr w:rsidR="006B040B" w:rsidSect="006B04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03346"/>
    <w:multiLevelType w:val="hybridMultilevel"/>
    <w:tmpl w:val="AB74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D4D25"/>
    <w:multiLevelType w:val="hybridMultilevel"/>
    <w:tmpl w:val="8940D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C5437"/>
    <w:multiLevelType w:val="hybridMultilevel"/>
    <w:tmpl w:val="574C8F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5C"/>
    <w:rsid w:val="000A51ED"/>
    <w:rsid w:val="000A59E8"/>
    <w:rsid w:val="00116ED9"/>
    <w:rsid w:val="003C1071"/>
    <w:rsid w:val="005B5AFF"/>
    <w:rsid w:val="00657D5C"/>
    <w:rsid w:val="006B040B"/>
    <w:rsid w:val="007471CD"/>
    <w:rsid w:val="00796378"/>
    <w:rsid w:val="0082049B"/>
    <w:rsid w:val="00B84A55"/>
    <w:rsid w:val="00D07B94"/>
    <w:rsid w:val="00F8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C685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5C"/>
    <w:pPr>
      <w:spacing w:after="200" w:line="276" w:lineRule="auto"/>
      <w:jc w:val="both"/>
    </w:pPr>
    <w:rPr>
      <w:rFonts w:ascii="Times New Roman" w:eastAsiaTheme="minorHAnsi" w:hAnsi="Times New Roman"/>
      <w:sz w:val="20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D5C"/>
    <w:pPr>
      <w:ind w:left="720"/>
      <w:contextualSpacing/>
    </w:pPr>
  </w:style>
  <w:style w:type="paragraph" w:styleId="Revision">
    <w:name w:val="Revision"/>
    <w:hidden/>
    <w:uiPriority w:val="99"/>
    <w:semiHidden/>
    <w:rsid w:val="00796378"/>
    <w:rPr>
      <w:rFonts w:ascii="Times New Roman" w:eastAsiaTheme="minorHAnsi" w:hAnsi="Times New Roman"/>
      <w:sz w:val="20"/>
      <w:szCs w:val="22"/>
      <w:lang w:val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5C"/>
    <w:pPr>
      <w:spacing w:after="200" w:line="276" w:lineRule="auto"/>
      <w:jc w:val="both"/>
    </w:pPr>
    <w:rPr>
      <w:rFonts w:ascii="Times New Roman" w:eastAsiaTheme="minorHAnsi" w:hAnsi="Times New Roman"/>
      <w:sz w:val="20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D5C"/>
    <w:pPr>
      <w:ind w:left="720"/>
      <w:contextualSpacing/>
    </w:pPr>
  </w:style>
  <w:style w:type="paragraph" w:styleId="Revision">
    <w:name w:val="Revision"/>
    <w:hidden/>
    <w:uiPriority w:val="99"/>
    <w:semiHidden/>
    <w:rsid w:val="00796378"/>
    <w:rPr>
      <w:rFonts w:ascii="Times New Roman" w:eastAsiaTheme="minorHAnsi" w:hAnsi="Times New Roman"/>
      <w:sz w:val="20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9c9c-d1d1-4ad4-b98b-a1e429329c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19" ma:contentTypeDescription="Umožňuje vytvoriť nový dokument." ma:contentTypeScope="" ma:versionID="b7cf6249e697211e34e7f67307ee2046">
  <xsd:schema xmlns:xsd="http://www.w3.org/2001/XMLSchema" xmlns:xs="http://www.w3.org/2001/XMLSchema" xmlns:p="http://schemas.microsoft.com/office/2006/metadata/properties" xmlns:ns3="f629074b-5f86-4ec2-b08b-52a31dec5509" xmlns:ns4="faff9c9c-d1d1-4ad4-b98b-a1e429329ca9" targetNamespace="http://schemas.microsoft.com/office/2006/metadata/properties" ma:root="true" ma:fieldsID="b2aa0a15b77d3299126f77d6e8b0b937" ns3:_="" ns4:_="">
    <xsd:import namespace="f629074b-5f86-4ec2-b08b-52a31dec5509"/>
    <xsd:import namespace="faff9c9c-d1d1-4ad4-b98b-a1e429329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9c9c-d1d1-4ad4-b98b-a1e42932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FB7C8-9340-43EB-BB49-6BCB1ECC72D6}">
  <ds:schemaRefs>
    <ds:schemaRef ds:uri="http://schemas.openxmlformats.org/package/2006/metadata/core-properties"/>
    <ds:schemaRef ds:uri="f629074b-5f86-4ec2-b08b-52a31dec5509"/>
    <ds:schemaRef ds:uri="http://schemas.microsoft.com/office/infopath/2007/PartnerControls"/>
    <ds:schemaRef ds:uri="http://www.w3.org/XML/1998/namespace"/>
    <ds:schemaRef ds:uri="http://purl.org/dc/dcmitype/"/>
    <ds:schemaRef ds:uri="faff9c9c-d1d1-4ad4-b98b-a1e429329ca9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B73A2A-F688-4A80-8CF5-3C48DFBDB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faff9c9c-d1d1-4ad4-b98b-a1e429329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66B76-A50E-4A16-9C02-C2DCA3409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Macintosh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Miroslava Kušnírikova</cp:lastModifiedBy>
  <cp:revision>2</cp:revision>
  <dcterms:created xsi:type="dcterms:W3CDTF">2024-09-18T12:09:00Z</dcterms:created>
  <dcterms:modified xsi:type="dcterms:W3CDTF">2024-09-18T12:09:00Z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