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5771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Univerzita Pavla Jozefa Šafárika v Košiciach</w:t>
      </w:r>
    </w:p>
    <w:p w14:paraId="4F1549F7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Právnická fakulta</w:t>
      </w:r>
    </w:p>
    <w:p w14:paraId="7EC3603E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Katedra občianskeho práva</w:t>
      </w:r>
    </w:p>
    <w:p w14:paraId="285030B9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769E8F9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51B620A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OTÁZKY NA ÚSTNU POSTUPOVÚ SKÚŠKU</w:t>
      </w:r>
    </w:p>
    <w:p w14:paraId="268CDB59" w14:textId="4438EE2B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F45D3">
        <w:rPr>
          <w:rFonts w:cs="Times New Roman"/>
          <w:b/>
          <w:sz w:val="28"/>
          <w:szCs w:val="28"/>
        </w:rPr>
        <w:t>Z</w:t>
      </w:r>
      <w:r>
        <w:rPr>
          <w:rFonts w:cs="Times New Roman"/>
          <w:b/>
          <w:sz w:val="28"/>
          <w:szCs w:val="28"/>
        </w:rPr>
        <w:t> </w:t>
      </w:r>
      <w:r w:rsidRPr="003F45D3">
        <w:rPr>
          <w:rFonts w:cs="Times New Roman"/>
          <w:b/>
          <w:sz w:val="28"/>
          <w:szCs w:val="28"/>
        </w:rPr>
        <w:t>PREDMETU</w:t>
      </w:r>
      <w:r>
        <w:rPr>
          <w:rFonts w:cs="Times New Roman"/>
          <w:b/>
          <w:sz w:val="28"/>
          <w:szCs w:val="28"/>
        </w:rPr>
        <w:t xml:space="preserve"> CIVILNÉ</w:t>
      </w:r>
      <w:r w:rsidRPr="003F45D3">
        <w:rPr>
          <w:rFonts w:cs="Times New Roman"/>
          <w:b/>
          <w:sz w:val="28"/>
          <w:szCs w:val="28"/>
        </w:rPr>
        <w:t xml:space="preserve"> PRÁVO PROCESNÉ </w:t>
      </w:r>
      <w:r w:rsidR="00796378">
        <w:rPr>
          <w:rFonts w:cs="Times New Roman"/>
          <w:b/>
          <w:sz w:val="28"/>
          <w:szCs w:val="28"/>
        </w:rPr>
        <w:t xml:space="preserve"> I</w:t>
      </w:r>
    </w:p>
    <w:p w14:paraId="04C7A447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79F5DB15" w14:textId="77777777" w:rsidR="00657D5C" w:rsidRPr="003F45D3" w:rsidRDefault="00657D5C" w:rsidP="00657D5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67E2A3AC" w14:textId="77777777" w:rsidR="00657D5C" w:rsidRPr="003F45D3" w:rsidRDefault="00657D5C" w:rsidP="00657D5C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3F45D3">
        <w:rPr>
          <w:rFonts w:cs="Times New Roman"/>
          <w:b/>
          <w:sz w:val="24"/>
          <w:szCs w:val="24"/>
        </w:rPr>
        <w:t xml:space="preserve">. ročník </w:t>
      </w:r>
      <w:r>
        <w:rPr>
          <w:rFonts w:cs="Times New Roman"/>
          <w:b/>
          <w:sz w:val="24"/>
          <w:szCs w:val="24"/>
        </w:rPr>
        <w:t>magisterské</w:t>
      </w:r>
      <w:r w:rsidRPr="003F45D3">
        <w:rPr>
          <w:rFonts w:cs="Times New Roman"/>
          <w:b/>
          <w:sz w:val="24"/>
          <w:szCs w:val="24"/>
        </w:rPr>
        <w:t>ho štúdia, zimný semester</w:t>
      </w:r>
    </w:p>
    <w:p w14:paraId="7CADDED0" w14:textId="5BB34325" w:rsidR="00657D5C" w:rsidRPr="003F45D3" w:rsidRDefault="005B5AFF" w:rsidP="00657D5C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akademický rok </w:t>
      </w:r>
      <w:r w:rsidR="00796378">
        <w:rPr>
          <w:rFonts w:cs="Times New Roman"/>
          <w:b/>
          <w:sz w:val="24"/>
          <w:szCs w:val="24"/>
        </w:rPr>
        <w:t xml:space="preserve"> 202</w:t>
      </w:r>
      <w:r w:rsidR="00891C8C">
        <w:rPr>
          <w:rFonts w:cs="Times New Roman"/>
          <w:b/>
          <w:sz w:val="24"/>
          <w:szCs w:val="24"/>
        </w:rPr>
        <w:t>5</w:t>
      </w:r>
      <w:r w:rsidR="003C1071">
        <w:rPr>
          <w:rFonts w:cs="Times New Roman"/>
          <w:b/>
          <w:sz w:val="24"/>
          <w:szCs w:val="24"/>
        </w:rPr>
        <w:t>/202</w:t>
      </w:r>
      <w:r w:rsidR="00891C8C">
        <w:rPr>
          <w:rFonts w:cs="Times New Roman"/>
          <w:b/>
          <w:sz w:val="24"/>
          <w:szCs w:val="24"/>
        </w:rPr>
        <w:t>6</w:t>
      </w:r>
    </w:p>
    <w:p w14:paraId="3D095C3D" w14:textId="77777777" w:rsidR="00657D5C" w:rsidRPr="003F45D3" w:rsidRDefault="00657D5C" w:rsidP="00657D5C">
      <w:pPr>
        <w:spacing w:line="240" w:lineRule="auto"/>
        <w:rPr>
          <w:rFonts w:cs="Times New Roman"/>
          <w:b/>
          <w:sz w:val="24"/>
          <w:szCs w:val="24"/>
        </w:rPr>
      </w:pPr>
    </w:p>
    <w:p w14:paraId="5761786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Procesné dokazovanie v spore a mimospore – základné princípy </w:t>
      </w:r>
    </w:p>
    <w:p w14:paraId="51549E0C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Základné pojmy dôkazného práva</w:t>
      </w:r>
    </w:p>
    <w:p w14:paraId="364006A8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Predmet a limity procesného dokazovania</w:t>
      </w:r>
    </w:p>
    <w:p w14:paraId="514C1BC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Štádiá procesného dokazovania</w:t>
      </w:r>
    </w:p>
    <w:p w14:paraId="6FD22C01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Výsluch strany a výsluch svedka</w:t>
      </w:r>
    </w:p>
    <w:p w14:paraId="6CEF2197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Dôkaz listinou a obhliadka v civilnom procese</w:t>
      </w:r>
    </w:p>
    <w:p w14:paraId="2CE8882E" w14:textId="77777777" w:rsidR="00657D5C" w:rsidRPr="00116ED9" w:rsidRDefault="007471CD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Odborné vyjadrenie a znalecké dokazovanie</w:t>
      </w:r>
    </w:p>
    <w:p w14:paraId="6FBD1CF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Predmet a základ súdneho rozhodnutia</w:t>
      </w:r>
    </w:p>
    <w:p w14:paraId="450CD173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Štádiá súdneho rozhodovania</w:t>
      </w:r>
    </w:p>
    <w:p w14:paraId="17CBF8B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Rozsudok konečný, čiastočný a medzitýmny</w:t>
      </w:r>
    </w:p>
    <w:p w14:paraId="0711CA2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Rozsudky pre zmeškanie</w:t>
      </w:r>
    </w:p>
    <w:p w14:paraId="5084A75C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Rozsudok na základe uznania nároku a vzdania sa nároku</w:t>
      </w:r>
    </w:p>
    <w:p w14:paraId="0C155DED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Uznesenie </w:t>
      </w:r>
    </w:p>
    <w:p w14:paraId="2AC0F6FC" w14:textId="77777777" w:rsidR="007471CD" w:rsidRPr="00116ED9" w:rsidRDefault="007471CD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Sťažnosť proti uzneseniu</w:t>
      </w:r>
    </w:p>
    <w:p w14:paraId="47CFE9A1" w14:textId="723A586D" w:rsidR="00657D5C" w:rsidRPr="00116ED9" w:rsidRDefault="0025152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Rozkazné</w:t>
      </w:r>
      <w:proofErr w:type="spellEnd"/>
      <w:r>
        <w:rPr>
          <w:rFonts w:cs="Times New Roman"/>
          <w:sz w:val="24"/>
          <w:szCs w:val="24"/>
        </w:rPr>
        <w:t xml:space="preserve"> konania </w:t>
      </w:r>
    </w:p>
    <w:p w14:paraId="2B65FC85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Právoplatnosť súdnych rozhodnutí</w:t>
      </w:r>
    </w:p>
    <w:p w14:paraId="02953C7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Vykonateľnosť súdnych rozhodnutí</w:t>
      </w:r>
    </w:p>
    <w:p w14:paraId="323DFD12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Trovy v sporovom konaní – vymedzenie, platenie, náhrada. </w:t>
      </w:r>
    </w:p>
    <w:p w14:paraId="0F2272D6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Trovy v mimosporovom konaní – vymedzenie, platenie, náhrada. </w:t>
      </w:r>
    </w:p>
    <w:p w14:paraId="379C3750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Súdne poplatky</w:t>
      </w:r>
    </w:p>
    <w:p w14:paraId="7F02BB0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Osobitosti sporov s ochranou slabšej strany</w:t>
      </w:r>
    </w:p>
    <w:p w14:paraId="26CEA409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Neodkladné opatrenia a zabezpečovacie opatrenia</w:t>
      </w:r>
      <w:r w:rsidR="00F80F74" w:rsidRPr="00116ED9">
        <w:rPr>
          <w:rFonts w:cs="Times New Roman"/>
          <w:sz w:val="24"/>
          <w:szCs w:val="24"/>
        </w:rPr>
        <w:t xml:space="preserve"> v spore</w:t>
      </w:r>
    </w:p>
    <w:p w14:paraId="6077BDAA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Neodkladné opatrenia v mimospore</w:t>
      </w:r>
    </w:p>
    <w:p w14:paraId="6CB41F23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Zabezpečenie dôkazu a zabezpečenie dôkazného prostriedku</w:t>
      </w:r>
    </w:p>
    <w:p w14:paraId="551B6FA2" w14:textId="77777777" w:rsidR="007471CD" w:rsidRPr="00116ED9" w:rsidRDefault="007471CD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Osobitosti </w:t>
      </w:r>
      <w:r w:rsidR="00F80F74" w:rsidRPr="00116ED9">
        <w:rPr>
          <w:rFonts w:cs="Times New Roman"/>
          <w:sz w:val="24"/>
          <w:szCs w:val="24"/>
        </w:rPr>
        <w:t>mimosporového konania</w:t>
      </w:r>
    </w:p>
    <w:p w14:paraId="189685AD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</w:t>
      </w:r>
      <w:r w:rsidR="00F80F74" w:rsidRPr="00116ED9">
        <w:rPr>
          <w:rFonts w:cs="Times New Roman"/>
          <w:sz w:val="24"/>
          <w:szCs w:val="24"/>
        </w:rPr>
        <w:t> manželský</w:t>
      </w:r>
      <w:r w:rsidRPr="00116ED9">
        <w:rPr>
          <w:rFonts w:cs="Times New Roman"/>
          <w:sz w:val="24"/>
          <w:szCs w:val="24"/>
        </w:rPr>
        <w:t>ch veciach</w:t>
      </w:r>
    </w:p>
    <w:p w14:paraId="6192FFEF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vo veciach starostlivosti súdu o maloletých a konanie o návrat maloletého do cudziny</w:t>
      </w:r>
    </w:p>
    <w:p w14:paraId="5F71559B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lastRenderedPageBreak/>
        <w:t>Konania vo veciach osvojenia</w:t>
      </w:r>
    </w:p>
    <w:p w14:paraId="19EDF6B9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vo veciach výživného plnoletých osôb</w:t>
      </w:r>
    </w:p>
    <w:p w14:paraId="591EE1C2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Priebeh konania o dedičstve</w:t>
      </w:r>
    </w:p>
    <w:p w14:paraId="10C7C56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Úkony súdu a notára v konaní o dedičstve</w:t>
      </w:r>
    </w:p>
    <w:p w14:paraId="5AED4999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Spory o dedičské právo a vyporiadanie BSM v konaní o dedičstve</w:t>
      </w:r>
    </w:p>
    <w:p w14:paraId="5C2D6778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Rozhodnutia, ktorými končí konanie o dedičstve</w:t>
      </w:r>
    </w:p>
    <w:p w14:paraId="54E74E38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Likvidácia dedičstva</w:t>
      </w:r>
    </w:p>
    <w:p w14:paraId="48B09C33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vyhlásenie za mŕtveho</w:t>
      </w:r>
    </w:p>
    <w:p w14:paraId="3A6532E9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Konanie o spôsobilosti na právne úkony </w:t>
      </w:r>
    </w:p>
    <w:p w14:paraId="575EDB13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prípustnosti prevzatia a držania v zdravotníckom zariadení</w:t>
      </w:r>
    </w:p>
    <w:p w14:paraId="6D075E36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 xml:space="preserve">Konanie o ustanovení opatrovníka </w:t>
      </w:r>
    </w:p>
    <w:p w14:paraId="4EB6368D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</w:t>
      </w:r>
      <w:r w:rsidR="00F80F74" w:rsidRPr="00116ED9">
        <w:rPr>
          <w:rFonts w:cs="Times New Roman"/>
          <w:sz w:val="24"/>
          <w:szCs w:val="24"/>
        </w:rPr>
        <w:t>ania</w:t>
      </w:r>
      <w:r w:rsidRPr="00116ED9">
        <w:rPr>
          <w:rFonts w:cs="Times New Roman"/>
          <w:sz w:val="24"/>
          <w:szCs w:val="24"/>
        </w:rPr>
        <w:t xml:space="preserve"> vo veciach obchodného registra</w:t>
      </w:r>
    </w:p>
    <w:p w14:paraId="3F579FA8" w14:textId="77777777" w:rsidR="00F80F74" w:rsidRPr="00116ED9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 v niektorých veciach právnických osôb</w:t>
      </w:r>
    </w:p>
    <w:p w14:paraId="1F94C11B" w14:textId="77777777" w:rsidR="00657D5C" w:rsidRPr="00116ED9" w:rsidRDefault="00657D5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Konanie o umorenie listiny</w:t>
      </w:r>
    </w:p>
    <w:p w14:paraId="28C0F0D1" w14:textId="7FF2027F" w:rsidR="00657D5C" w:rsidRDefault="00F80F74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116ED9">
        <w:rPr>
          <w:rFonts w:cs="Times New Roman"/>
          <w:sz w:val="24"/>
          <w:szCs w:val="24"/>
        </w:rPr>
        <w:t>Konania</w:t>
      </w:r>
      <w:r w:rsidR="00657D5C" w:rsidRPr="00116ED9">
        <w:rPr>
          <w:rFonts w:cs="Times New Roman"/>
          <w:sz w:val="24"/>
          <w:szCs w:val="24"/>
        </w:rPr>
        <w:t xml:space="preserve"> vo veciach notárskych úschov</w:t>
      </w:r>
    </w:p>
    <w:p w14:paraId="0087ED01" w14:textId="2AB3907A" w:rsidR="00891C8C" w:rsidRPr="00BB460C" w:rsidRDefault="00891C8C" w:rsidP="00116ED9">
      <w:pPr>
        <w:pStyle w:val="Odsekzoznamu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BB460C">
        <w:rPr>
          <w:rFonts w:cs="Times New Roman"/>
          <w:sz w:val="24"/>
          <w:szCs w:val="24"/>
        </w:rPr>
        <w:t>Konanie o potvrdení vydržania</w:t>
      </w:r>
    </w:p>
    <w:p w14:paraId="61820010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Opravné systémy v civilnom procese</w:t>
      </w:r>
    </w:p>
    <w:p w14:paraId="534947D1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odvolania</w:t>
      </w:r>
    </w:p>
    <w:p w14:paraId="3D550D3E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Odvolacie dôvody</w:t>
      </w:r>
    </w:p>
    <w:p w14:paraId="02E9E815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Novoty a koncentrácia v odvolacom konaní</w:t>
      </w:r>
    </w:p>
    <w:p w14:paraId="627917F6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odvolacieho konania a spôsoby rozhodnutia odvolacieho súdu</w:t>
      </w:r>
    </w:p>
    <w:p w14:paraId="5A992A42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žaloby na obnovu konania</w:t>
      </w:r>
    </w:p>
    <w:p w14:paraId="40F71A6A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 xml:space="preserve">Dôvody žaloby na obnovu konania </w:t>
      </w:r>
    </w:p>
    <w:p w14:paraId="62BD38AF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konania o žalobe na obnovu konania a spôsoby rozhodnutia súdu</w:t>
      </w:r>
    </w:p>
    <w:p w14:paraId="10348C29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Predpoklady prípustnosti dovolania</w:t>
      </w:r>
    </w:p>
    <w:p w14:paraId="4AF1BAAA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Dovolacie dôvody</w:t>
      </w:r>
    </w:p>
    <w:p w14:paraId="3692E752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Priebeh dovolacieho konania a spôsoby rozhodnutia dovolacieho súdu</w:t>
      </w:r>
    </w:p>
    <w:p w14:paraId="3CC10D48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Dovolanie generálneho prokurátora podľa CSP</w:t>
      </w:r>
    </w:p>
    <w:p w14:paraId="55274A7D" w14:textId="77777777" w:rsidR="00796378" w:rsidRPr="00116ED9" w:rsidRDefault="00796378" w:rsidP="00116ED9">
      <w:pPr>
        <w:pStyle w:val="Odsekzoznamu"/>
        <w:numPr>
          <w:ilvl w:val="0"/>
          <w:numId w:val="3"/>
        </w:numPr>
        <w:spacing w:before="120" w:after="0" w:line="240" w:lineRule="auto"/>
        <w:rPr>
          <w:rFonts w:cs="Times New Roman"/>
          <w:snapToGrid w:val="0"/>
          <w:sz w:val="24"/>
          <w:szCs w:val="24"/>
          <w:lang w:eastAsia="cs-CZ"/>
        </w:rPr>
      </w:pPr>
      <w:r w:rsidRPr="00116ED9">
        <w:rPr>
          <w:rFonts w:cs="Times New Roman"/>
          <w:snapToGrid w:val="0"/>
          <w:sz w:val="24"/>
          <w:szCs w:val="24"/>
          <w:lang w:eastAsia="cs-CZ"/>
        </w:rPr>
        <w:t>Dovolanie generálneho prokurátora podľa CMP</w:t>
      </w:r>
    </w:p>
    <w:p w14:paraId="0256B0F6" w14:textId="77777777" w:rsidR="00796378" w:rsidRPr="00796378" w:rsidRDefault="00796378" w:rsidP="00796378">
      <w:pPr>
        <w:spacing w:line="240" w:lineRule="auto"/>
        <w:rPr>
          <w:rFonts w:cs="Times New Roman"/>
          <w:sz w:val="24"/>
          <w:szCs w:val="24"/>
        </w:rPr>
      </w:pPr>
    </w:p>
    <w:p w14:paraId="0CE34AC2" w14:textId="77777777" w:rsidR="00657D5C" w:rsidRPr="00115DC6" w:rsidRDefault="00657D5C" w:rsidP="00657D5C">
      <w:pPr>
        <w:spacing w:line="240" w:lineRule="auto"/>
        <w:ind w:left="360"/>
        <w:rPr>
          <w:rFonts w:cs="Times New Roman"/>
          <w:sz w:val="24"/>
          <w:szCs w:val="24"/>
        </w:rPr>
      </w:pPr>
    </w:p>
    <w:p w14:paraId="06B7BD3C" w14:textId="77777777" w:rsidR="00657D5C" w:rsidRPr="003F45D3" w:rsidRDefault="00657D5C" w:rsidP="00657D5C">
      <w:pPr>
        <w:jc w:val="center"/>
        <w:rPr>
          <w:rFonts w:cs="Times New Roman"/>
          <w:b/>
          <w:sz w:val="24"/>
          <w:szCs w:val="24"/>
        </w:rPr>
      </w:pPr>
    </w:p>
    <w:p w14:paraId="51E36895" w14:textId="77777777" w:rsidR="00657D5C" w:rsidRPr="003F45D3" w:rsidRDefault="00657D5C" w:rsidP="00657D5C">
      <w:pPr>
        <w:jc w:val="center"/>
        <w:rPr>
          <w:rFonts w:cs="Times New Roman"/>
          <w:b/>
          <w:sz w:val="24"/>
          <w:szCs w:val="24"/>
        </w:rPr>
      </w:pPr>
    </w:p>
    <w:p w14:paraId="1C300867" w14:textId="77777777" w:rsidR="006B040B" w:rsidRDefault="006B040B"/>
    <w:sectPr w:rsidR="006B040B" w:rsidSect="006B04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03346"/>
    <w:multiLevelType w:val="hybridMultilevel"/>
    <w:tmpl w:val="AB74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D4D25"/>
    <w:multiLevelType w:val="hybridMultilevel"/>
    <w:tmpl w:val="8940D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437"/>
    <w:multiLevelType w:val="hybridMultilevel"/>
    <w:tmpl w:val="574C8F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398198">
    <w:abstractNumId w:val="0"/>
  </w:num>
  <w:num w:numId="2" w16cid:durableId="1014725248">
    <w:abstractNumId w:val="2"/>
  </w:num>
  <w:num w:numId="3" w16cid:durableId="6418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5C"/>
    <w:rsid w:val="000A51ED"/>
    <w:rsid w:val="000A59E8"/>
    <w:rsid w:val="00116ED9"/>
    <w:rsid w:val="00187E4E"/>
    <w:rsid w:val="00214413"/>
    <w:rsid w:val="00251524"/>
    <w:rsid w:val="003C1071"/>
    <w:rsid w:val="005B5AFF"/>
    <w:rsid w:val="00657D5C"/>
    <w:rsid w:val="006B040B"/>
    <w:rsid w:val="007471CD"/>
    <w:rsid w:val="00796378"/>
    <w:rsid w:val="0082049B"/>
    <w:rsid w:val="00891C8C"/>
    <w:rsid w:val="00B84A55"/>
    <w:rsid w:val="00BB460C"/>
    <w:rsid w:val="00D07B94"/>
    <w:rsid w:val="00F80F7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685B2"/>
  <w14:defaultImageDpi w14:val="300"/>
  <w15:docId w15:val="{39547157-BCB1-2E49-9D0B-63E51376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D5C"/>
    <w:pPr>
      <w:spacing w:after="200" w:line="276" w:lineRule="auto"/>
      <w:jc w:val="both"/>
    </w:pPr>
    <w:rPr>
      <w:rFonts w:ascii="Times New Roman" w:eastAsiaTheme="minorHAnsi" w:hAnsi="Times New Roman"/>
      <w:sz w:val="20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7D5C"/>
    <w:pPr>
      <w:ind w:left="720"/>
      <w:contextualSpacing/>
    </w:pPr>
  </w:style>
  <w:style w:type="paragraph" w:styleId="Revzia">
    <w:name w:val="Revision"/>
    <w:hidden/>
    <w:uiPriority w:val="99"/>
    <w:semiHidden/>
    <w:rsid w:val="00796378"/>
    <w:rPr>
      <w:rFonts w:ascii="Times New Roman" w:eastAsiaTheme="minorHAnsi" w:hAnsi="Times New Roman"/>
      <w:sz w:val="20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9" ma:contentTypeDescription="Umožňuje vytvoriť nový dokument." ma:contentTypeScope="" ma:versionID="b7cf6249e697211e34e7f67307ee2046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b2aa0a15b77d3299126f77d6e8b0b937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FB7C8-9340-43EB-BB49-6BCB1ECC72D6}">
  <ds:schemaRefs>
    <ds:schemaRef ds:uri="http://schemas.microsoft.com/office/2006/metadata/properties"/>
    <ds:schemaRef ds:uri="http://schemas.microsoft.com/office/infopath/2007/PartnerControls"/>
    <ds:schemaRef ds:uri="faff9c9c-d1d1-4ad4-b98b-a1e429329ca9"/>
  </ds:schemaRefs>
</ds:datastoreItem>
</file>

<file path=customXml/itemProps2.xml><?xml version="1.0" encoding="utf-8"?>
<ds:datastoreItem xmlns:ds="http://schemas.openxmlformats.org/officeDocument/2006/customXml" ds:itemID="{0B566B76-A50E-4A16-9C02-C2DCA3409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73A2A-F688-4A80-8CF5-3C48DFBDB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JUDr. Viktória Koľveková PhD.</cp:lastModifiedBy>
  <cp:revision>2</cp:revision>
  <dcterms:created xsi:type="dcterms:W3CDTF">2025-06-02T07:08:00Z</dcterms:created>
  <dcterms:modified xsi:type="dcterms:W3CDTF">2025-06-02T07:08:00Z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