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1FDC" w:rsidRPr="009D1FDC" w:rsidRDefault="009D1FDC" w:rsidP="009D1FDC">
      <w:pPr>
        <w:tabs>
          <w:tab w:val="left" w:pos="3969"/>
        </w:tabs>
        <w:spacing w:after="0" w:line="240" w:lineRule="auto"/>
        <w:jc w:val="center"/>
        <w:rPr>
          <w:rFonts w:ascii="Times New Roman" w:hAnsi="Times New Roman"/>
          <w:b/>
          <w:sz w:val="24"/>
          <w:szCs w:val="24"/>
        </w:rPr>
      </w:pPr>
      <w:r w:rsidRPr="009D1FDC">
        <w:rPr>
          <w:rFonts w:ascii="Times New Roman" w:hAnsi="Times New Roman"/>
          <w:b/>
          <w:sz w:val="24"/>
          <w:szCs w:val="24"/>
        </w:rPr>
        <w:t>Príprava a zadanie na seminár z predm</w:t>
      </w:r>
      <w:r w:rsidR="00D575DD">
        <w:rPr>
          <w:rFonts w:ascii="Times New Roman" w:hAnsi="Times New Roman"/>
          <w:b/>
          <w:sz w:val="24"/>
          <w:szCs w:val="24"/>
        </w:rPr>
        <w:t>etu Obchodné právo III., LS</w:t>
      </w:r>
    </w:p>
    <w:p w:rsidR="009D1FDC" w:rsidRPr="009D1FDC" w:rsidRDefault="009D1FDC" w:rsidP="009D1FDC">
      <w:pPr>
        <w:spacing w:after="0" w:line="240" w:lineRule="auto"/>
        <w:jc w:val="both"/>
        <w:rPr>
          <w:rFonts w:ascii="Times New Roman" w:hAnsi="Times New Roman"/>
          <w:sz w:val="24"/>
          <w:szCs w:val="24"/>
        </w:rPr>
      </w:pPr>
    </w:p>
    <w:p w:rsidR="009D1FDC" w:rsidRPr="009D1FDC" w:rsidRDefault="009D1FDC" w:rsidP="009D1FDC">
      <w:pPr>
        <w:spacing w:after="0" w:line="240" w:lineRule="auto"/>
        <w:jc w:val="both"/>
        <w:rPr>
          <w:rFonts w:ascii="Times New Roman" w:hAnsi="Times New Roman"/>
          <w:b/>
          <w:i/>
          <w:sz w:val="24"/>
          <w:szCs w:val="24"/>
        </w:rPr>
      </w:pPr>
      <w:r w:rsidRPr="009D1FDC">
        <w:rPr>
          <w:rFonts w:ascii="Times New Roman" w:hAnsi="Times New Roman"/>
          <w:i/>
          <w:sz w:val="24"/>
          <w:szCs w:val="24"/>
        </w:rPr>
        <w:t>Príprava študenta na seminár spočíva v naštudovaní prednášky a príslušnej časti zákona a odporúčanej literatúry k téme, ktorá má byť precvičená daný týždeň podľa uverejnených Syláb k predmetu. Okrem iného sa žiada, aby bol študent náležite pripravený odpovedať aj na nasledovné otázky, príp. sa oboznámil s argumentáciou najvyššieho súdu v rozhodnutiach, ktoré má za úlohu naštudovať.</w:t>
      </w:r>
      <w:r w:rsidRPr="009D1FDC">
        <w:rPr>
          <w:rFonts w:ascii="Times New Roman" w:hAnsi="Times New Roman"/>
          <w:b/>
          <w:i/>
          <w:sz w:val="24"/>
          <w:szCs w:val="24"/>
        </w:rPr>
        <w:t xml:space="preserve"> </w:t>
      </w:r>
    </w:p>
    <w:p w:rsidR="001B730D" w:rsidRPr="009D1FDC" w:rsidRDefault="001B730D" w:rsidP="009D1FDC">
      <w:pPr>
        <w:spacing w:after="0" w:line="240" w:lineRule="auto"/>
        <w:rPr>
          <w:rFonts w:ascii="Times New Roman" w:hAnsi="Times New Roman"/>
          <w:sz w:val="24"/>
          <w:szCs w:val="24"/>
        </w:rPr>
      </w:pPr>
    </w:p>
    <w:p w:rsidR="009D1FDC" w:rsidRPr="009D1FDC" w:rsidRDefault="00D575DD" w:rsidP="009D1FDC">
      <w:pPr>
        <w:spacing w:after="0" w:line="240" w:lineRule="auto"/>
        <w:jc w:val="both"/>
        <w:rPr>
          <w:rFonts w:ascii="Times New Roman" w:hAnsi="Times New Roman"/>
          <w:b/>
          <w:sz w:val="24"/>
          <w:szCs w:val="24"/>
          <w:u w:val="single"/>
        </w:rPr>
      </w:pPr>
      <w:r>
        <w:rPr>
          <w:rFonts w:ascii="Times New Roman" w:hAnsi="Times New Roman"/>
          <w:b/>
          <w:sz w:val="24"/>
          <w:szCs w:val="24"/>
          <w:u w:val="single"/>
        </w:rPr>
        <w:t xml:space="preserve">Téma: Zodpovednosť za omeškanie: </w:t>
      </w:r>
      <w:bookmarkStart w:id="0" w:name="_GoBack"/>
      <w:bookmarkEnd w:id="0"/>
      <w:r w:rsidR="009D1FDC" w:rsidRPr="009D1FDC">
        <w:rPr>
          <w:rFonts w:ascii="Times New Roman" w:hAnsi="Times New Roman"/>
          <w:b/>
          <w:sz w:val="24"/>
          <w:szCs w:val="24"/>
          <w:u w:val="single"/>
        </w:rPr>
        <w:t>Omeškanie dlžníka a omeškanie veriteľa</w:t>
      </w:r>
    </w:p>
    <w:p w:rsidR="009D1FDC" w:rsidRPr="009D1FDC" w:rsidRDefault="009D1FDC" w:rsidP="009D1FDC">
      <w:pPr>
        <w:spacing w:after="0" w:line="240" w:lineRule="auto"/>
        <w:jc w:val="both"/>
        <w:rPr>
          <w:rFonts w:ascii="Times New Roman" w:hAnsi="Times New Roman"/>
          <w:b/>
          <w:sz w:val="24"/>
          <w:szCs w:val="24"/>
        </w:rPr>
      </w:pPr>
    </w:p>
    <w:p w:rsidR="009D1FDC" w:rsidRDefault="009D1FDC" w:rsidP="009D1FDC">
      <w:pPr>
        <w:pStyle w:val="Odsekzoznamu"/>
        <w:numPr>
          <w:ilvl w:val="0"/>
          <w:numId w:val="1"/>
        </w:numPr>
        <w:spacing w:after="0" w:line="240" w:lineRule="auto"/>
        <w:jc w:val="both"/>
        <w:rPr>
          <w:rFonts w:ascii="Times New Roman" w:hAnsi="Times New Roman"/>
          <w:sz w:val="24"/>
          <w:szCs w:val="24"/>
        </w:rPr>
      </w:pPr>
      <w:r w:rsidRPr="009D1FDC">
        <w:rPr>
          <w:rFonts w:ascii="Times New Roman" w:hAnsi="Times New Roman"/>
          <w:sz w:val="24"/>
          <w:szCs w:val="24"/>
        </w:rPr>
        <w:t>Z hľadiska právnych následkov, aký je rozdiel medzi omeškaním dlžníka (§ 365 ObZ) a následnou nemožnosťou plnenia (§ 352 a </w:t>
      </w:r>
      <w:proofErr w:type="spellStart"/>
      <w:r w:rsidRPr="009D1FDC">
        <w:rPr>
          <w:rFonts w:ascii="Times New Roman" w:hAnsi="Times New Roman"/>
          <w:sz w:val="24"/>
          <w:szCs w:val="24"/>
        </w:rPr>
        <w:t>nasl</w:t>
      </w:r>
      <w:proofErr w:type="spellEnd"/>
      <w:r w:rsidRPr="009D1FDC">
        <w:rPr>
          <w:rFonts w:ascii="Times New Roman" w:hAnsi="Times New Roman"/>
          <w:sz w:val="24"/>
          <w:szCs w:val="24"/>
        </w:rPr>
        <w:t>. ObZ)?</w:t>
      </w:r>
    </w:p>
    <w:p w:rsidR="00D575DD" w:rsidRDefault="00D575DD" w:rsidP="00D575DD">
      <w:pPr>
        <w:pStyle w:val="Odsekzoznamu"/>
        <w:spacing w:after="0" w:line="240" w:lineRule="auto"/>
        <w:ind w:left="502"/>
        <w:jc w:val="both"/>
        <w:rPr>
          <w:rFonts w:ascii="Times New Roman" w:hAnsi="Times New Roman"/>
          <w:sz w:val="24"/>
          <w:szCs w:val="24"/>
        </w:rPr>
      </w:pPr>
    </w:p>
    <w:p w:rsidR="009D1FDC" w:rsidRPr="009D1FDC" w:rsidRDefault="009D1FDC" w:rsidP="009D1FDC">
      <w:pPr>
        <w:pStyle w:val="Odsekzoznamu"/>
        <w:numPr>
          <w:ilvl w:val="0"/>
          <w:numId w:val="1"/>
        </w:numPr>
        <w:spacing w:after="0" w:line="240" w:lineRule="auto"/>
        <w:jc w:val="both"/>
        <w:rPr>
          <w:rFonts w:ascii="Times New Roman" w:hAnsi="Times New Roman"/>
          <w:sz w:val="24"/>
          <w:szCs w:val="24"/>
        </w:rPr>
      </w:pPr>
      <w:r w:rsidRPr="009D1FDC">
        <w:rPr>
          <w:rFonts w:ascii="Times New Roman" w:hAnsi="Times New Roman"/>
          <w:sz w:val="24"/>
          <w:szCs w:val="24"/>
        </w:rPr>
        <w:t xml:space="preserve">Spoločnosť Alfa </w:t>
      </w:r>
      <w:proofErr w:type="spellStart"/>
      <w:r w:rsidRPr="009D1FDC">
        <w:rPr>
          <w:rFonts w:ascii="Times New Roman" w:hAnsi="Times New Roman"/>
          <w:sz w:val="24"/>
          <w:szCs w:val="24"/>
        </w:rPr>
        <w:t>s.r.o</w:t>
      </w:r>
      <w:proofErr w:type="spellEnd"/>
      <w:r w:rsidRPr="009D1FDC">
        <w:rPr>
          <w:rFonts w:ascii="Times New Roman" w:hAnsi="Times New Roman"/>
          <w:sz w:val="24"/>
          <w:szCs w:val="24"/>
        </w:rPr>
        <w:t xml:space="preserve">. ako kupujúci a spoločnosť Beta </w:t>
      </w:r>
      <w:proofErr w:type="spellStart"/>
      <w:r w:rsidRPr="009D1FDC">
        <w:rPr>
          <w:rFonts w:ascii="Times New Roman" w:hAnsi="Times New Roman"/>
          <w:sz w:val="24"/>
          <w:szCs w:val="24"/>
        </w:rPr>
        <w:t>s.r.o</w:t>
      </w:r>
      <w:proofErr w:type="spellEnd"/>
      <w:r w:rsidRPr="009D1FDC">
        <w:rPr>
          <w:rFonts w:ascii="Times New Roman" w:hAnsi="Times New Roman"/>
          <w:sz w:val="24"/>
          <w:szCs w:val="24"/>
        </w:rPr>
        <w:t>. ako predávajúci sa dohodli na predaji súčiastok do motorových vozidiel. Lehotu na dodanie tovaru určili na marec 2018. Prepravu tovaru mal zabezpečiť predávajúci. Miesto plnenia bol sklad kupujúceho. Podľa zmluvy mal kupujúci zabezpečiť vyloženie tovaru z motorového vozidla svojou technikou a personálom. Zmluvné strany si dohodli za nesplnenie povinností zmluvnú pokutu 1000,- EUR na strane kupujúceho a 1000,- EUR na strane predávajúceho za nedodanie tovaru v dohodnutej lehote.</w:t>
      </w:r>
    </w:p>
    <w:p w:rsidR="009D1FDC" w:rsidRDefault="009D1FDC" w:rsidP="009D1FDC">
      <w:pPr>
        <w:pStyle w:val="Odsekzoznamu"/>
        <w:spacing w:after="0" w:line="240" w:lineRule="auto"/>
        <w:ind w:left="502"/>
        <w:jc w:val="both"/>
        <w:rPr>
          <w:rFonts w:ascii="Times New Roman" w:hAnsi="Times New Roman"/>
          <w:sz w:val="24"/>
          <w:szCs w:val="24"/>
        </w:rPr>
      </w:pPr>
      <w:r w:rsidRPr="009D1FDC">
        <w:rPr>
          <w:rFonts w:ascii="Times New Roman" w:hAnsi="Times New Roman"/>
          <w:sz w:val="24"/>
          <w:szCs w:val="24"/>
        </w:rPr>
        <w:t>Predávajúci doviezol tovar 24.3.2</w:t>
      </w:r>
      <w:r w:rsidRPr="00DB3EF8">
        <w:rPr>
          <w:rFonts w:ascii="Times New Roman" w:hAnsi="Times New Roman"/>
          <w:sz w:val="24"/>
          <w:szCs w:val="24"/>
        </w:rPr>
        <w:t xml:space="preserve">018. Kupujúci nezabezpečil techniku a personál na vyloženie tovaru, takže tovar sa nevyložil a bol dodaný pri ďalšej dodávke tovaru dňa 1.4.2018. Kupujúci vyúčtoval zmluvnú pokutu 1000,- EUR </w:t>
      </w:r>
      <w:r w:rsidRPr="009D1FDC">
        <w:rPr>
          <w:rFonts w:ascii="Times New Roman" w:hAnsi="Times New Roman"/>
          <w:sz w:val="24"/>
          <w:szCs w:val="24"/>
        </w:rPr>
        <w:t>za nedodanie tovaru v dohodnutej lehote. Na námietku predávajúceho, že nemohol plniť pre nezabezpečenie personálu a techniky uviedol, že predávajúci neplnil riadne, lebo na tovare sa vyskytli chyby.</w:t>
      </w:r>
    </w:p>
    <w:p w:rsidR="009D1FDC" w:rsidRPr="009D1FDC" w:rsidRDefault="009D1FDC" w:rsidP="009D1FDC">
      <w:pPr>
        <w:pStyle w:val="Odsekzoznamu"/>
        <w:numPr>
          <w:ilvl w:val="0"/>
          <w:numId w:val="4"/>
        </w:numPr>
        <w:spacing w:after="0" w:line="240" w:lineRule="auto"/>
        <w:ind w:left="993" w:hanging="295"/>
        <w:jc w:val="both"/>
        <w:rPr>
          <w:rFonts w:ascii="Times New Roman" w:hAnsi="Times New Roman"/>
          <w:i/>
          <w:sz w:val="24"/>
          <w:szCs w:val="24"/>
        </w:rPr>
      </w:pPr>
      <w:r w:rsidRPr="009D1FDC">
        <w:rPr>
          <w:rFonts w:ascii="Times New Roman" w:hAnsi="Times New Roman"/>
          <w:i/>
          <w:sz w:val="24"/>
          <w:szCs w:val="24"/>
        </w:rPr>
        <w:t>Za akých okolností sa dostáva veriteľ do omeškania s plnením?</w:t>
      </w:r>
      <w:r w:rsidR="00DB3EF8">
        <w:rPr>
          <w:rFonts w:ascii="Times New Roman" w:hAnsi="Times New Roman"/>
          <w:i/>
          <w:sz w:val="24"/>
          <w:szCs w:val="24"/>
        </w:rPr>
        <w:t xml:space="preserve"> </w:t>
      </w:r>
    </w:p>
    <w:p w:rsidR="009D1FDC" w:rsidRPr="009D1FDC" w:rsidRDefault="009D1FDC" w:rsidP="009D1FDC">
      <w:pPr>
        <w:pStyle w:val="Odsekzoznamu"/>
        <w:numPr>
          <w:ilvl w:val="0"/>
          <w:numId w:val="4"/>
        </w:numPr>
        <w:spacing w:after="0" w:line="240" w:lineRule="auto"/>
        <w:ind w:left="993" w:hanging="295"/>
        <w:jc w:val="both"/>
        <w:rPr>
          <w:rFonts w:ascii="Times New Roman" w:hAnsi="Times New Roman"/>
          <w:i/>
          <w:sz w:val="24"/>
          <w:szCs w:val="24"/>
        </w:rPr>
      </w:pPr>
      <w:r w:rsidRPr="009D1FDC">
        <w:rPr>
          <w:rFonts w:ascii="Times New Roman" w:hAnsi="Times New Roman"/>
          <w:i/>
          <w:sz w:val="24"/>
          <w:szCs w:val="24"/>
        </w:rPr>
        <w:t>Ako sa môže veriteľ zbaviť zodpovednosti za omeškanie a čo musí preukazovať?</w:t>
      </w:r>
    </w:p>
    <w:p w:rsidR="00D575DD" w:rsidRDefault="009D1FDC" w:rsidP="009D1FDC">
      <w:pPr>
        <w:pStyle w:val="Odsekzoznamu"/>
        <w:numPr>
          <w:ilvl w:val="0"/>
          <w:numId w:val="4"/>
        </w:numPr>
        <w:spacing w:after="0" w:line="240" w:lineRule="auto"/>
        <w:ind w:left="993" w:hanging="295"/>
        <w:jc w:val="both"/>
        <w:rPr>
          <w:rFonts w:ascii="Times New Roman" w:hAnsi="Times New Roman"/>
          <w:i/>
          <w:sz w:val="24"/>
          <w:szCs w:val="24"/>
        </w:rPr>
      </w:pPr>
      <w:r w:rsidRPr="009D1FDC">
        <w:rPr>
          <w:rFonts w:ascii="Times New Roman" w:hAnsi="Times New Roman"/>
          <w:i/>
          <w:sz w:val="24"/>
          <w:szCs w:val="24"/>
        </w:rPr>
        <w:t>Za akých okolností bude úspešná obrana predávajúceho?</w:t>
      </w:r>
    </w:p>
    <w:p w:rsidR="00D44238" w:rsidRPr="00D44238" w:rsidRDefault="00D575DD" w:rsidP="009D1FDC">
      <w:pPr>
        <w:pStyle w:val="Odsekzoznamu"/>
        <w:numPr>
          <w:ilvl w:val="0"/>
          <w:numId w:val="4"/>
        </w:numPr>
        <w:spacing w:after="0" w:line="240" w:lineRule="auto"/>
        <w:ind w:left="993" w:hanging="295"/>
        <w:jc w:val="both"/>
        <w:rPr>
          <w:rFonts w:ascii="Times New Roman" w:hAnsi="Times New Roman"/>
          <w:i/>
          <w:sz w:val="24"/>
          <w:szCs w:val="24"/>
        </w:rPr>
      </w:pPr>
      <w:r w:rsidRPr="009D1FDC">
        <w:rPr>
          <w:rFonts w:ascii="Times New Roman" w:hAnsi="Times New Roman"/>
          <w:i/>
          <w:sz w:val="24"/>
          <w:szCs w:val="24"/>
        </w:rPr>
        <w:t xml:space="preserve"> </w:t>
      </w:r>
      <w:r w:rsidR="009D1FDC" w:rsidRPr="009D1FDC">
        <w:rPr>
          <w:rFonts w:ascii="Times New Roman" w:hAnsi="Times New Roman"/>
          <w:i/>
          <w:sz w:val="24"/>
          <w:szCs w:val="24"/>
        </w:rPr>
        <w:t>Za akých okolností môže byť úspešný kupujúci, a čo musí preukázať pre oprávnenosť svojho tvrdenia</w:t>
      </w:r>
      <w:r>
        <w:rPr>
          <w:rFonts w:ascii="Times New Roman" w:hAnsi="Times New Roman"/>
          <w:i/>
          <w:sz w:val="24"/>
          <w:szCs w:val="24"/>
        </w:rPr>
        <w:t>?</w:t>
      </w:r>
      <w:r w:rsidR="00D44238">
        <w:rPr>
          <w:rFonts w:ascii="Times New Roman" w:hAnsi="Times New Roman"/>
          <w:i/>
          <w:color w:val="FF0000"/>
          <w:sz w:val="24"/>
          <w:szCs w:val="24"/>
        </w:rPr>
        <w:t xml:space="preserve"> </w:t>
      </w:r>
    </w:p>
    <w:p w:rsidR="009D1FDC" w:rsidRPr="009D1FDC" w:rsidRDefault="009D1FDC" w:rsidP="00D44238">
      <w:pPr>
        <w:pStyle w:val="Odsekzoznamu"/>
        <w:spacing w:after="0" w:line="240" w:lineRule="auto"/>
        <w:ind w:left="993"/>
        <w:jc w:val="both"/>
        <w:rPr>
          <w:rFonts w:ascii="Times New Roman" w:hAnsi="Times New Roman"/>
          <w:i/>
          <w:sz w:val="24"/>
          <w:szCs w:val="24"/>
        </w:rPr>
      </w:pPr>
    </w:p>
    <w:p w:rsidR="009D1FDC" w:rsidRPr="009D1FDC" w:rsidRDefault="009D1FDC" w:rsidP="009D1FDC">
      <w:pPr>
        <w:pStyle w:val="Odsekzoznamu"/>
        <w:numPr>
          <w:ilvl w:val="0"/>
          <w:numId w:val="1"/>
        </w:numPr>
        <w:spacing w:after="0" w:line="240" w:lineRule="auto"/>
        <w:jc w:val="both"/>
        <w:rPr>
          <w:rFonts w:ascii="Times New Roman" w:hAnsi="Times New Roman"/>
          <w:sz w:val="24"/>
          <w:szCs w:val="24"/>
        </w:rPr>
      </w:pPr>
      <w:r w:rsidRPr="009D1FDC">
        <w:rPr>
          <w:rFonts w:ascii="Times New Roman" w:hAnsi="Times New Roman"/>
          <w:sz w:val="24"/>
          <w:szCs w:val="24"/>
        </w:rPr>
        <w:t>Kupujúci uznal svoj záväzok voči predávajúcemu vo výške 10 000,- EUR zo záväzku na zaplatenie kúpnej ceny za dodaný materiál. Záväzok, ktorý bol uznaný bol splatný 1.3.2017 s úrokom z omeškania 1% denne. Kupujúci zaplatil uznaný záväzok sčasti dňa 1.8.2017 vo výške 9000,- EUR a v časti istiny sa dostal do omeškania.</w:t>
      </w:r>
    </w:p>
    <w:p w:rsidR="009D1FDC" w:rsidRPr="009D1FDC" w:rsidRDefault="009D1FDC" w:rsidP="009D1FDC">
      <w:pPr>
        <w:pStyle w:val="Odsekzoznamu"/>
        <w:spacing w:after="0" w:line="240" w:lineRule="auto"/>
        <w:ind w:left="502"/>
        <w:jc w:val="both"/>
        <w:rPr>
          <w:rFonts w:ascii="Times New Roman" w:hAnsi="Times New Roman"/>
          <w:sz w:val="24"/>
          <w:szCs w:val="24"/>
        </w:rPr>
      </w:pPr>
      <w:r w:rsidRPr="009D1FDC">
        <w:rPr>
          <w:rFonts w:ascii="Times New Roman" w:hAnsi="Times New Roman"/>
          <w:sz w:val="24"/>
          <w:szCs w:val="24"/>
        </w:rPr>
        <w:t>Predávajúci uplatnil žalobu na zaplatenie vymáhanej istiny s príslušenstvom s dohodnutým úrokom z omeškania. Okrem toho si uplatnil nárok na zaplatenie úroku z omeškania za meškanie s platením dohodnutého úroku z omeškania vo výške, ako to vyplynulo z uzatvorenej dohody o uznaní záväzku.</w:t>
      </w:r>
    </w:p>
    <w:p w:rsidR="009D1FDC" w:rsidRPr="009D1FDC" w:rsidRDefault="009D1FDC" w:rsidP="009D1FDC">
      <w:pPr>
        <w:pStyle w:val="Odsekzoznamu"/>
        <w:numPr>
          <w:ilvl w:val="1"/>
          <w:numId w:val="6"/>
        </w:numPr>
        <w:spacing w:after="0" w:line="240" w:lineRule="auto"/>
        <w:ind w:left="993" w:hanging="284"/>
        <w:jc w:val="both"/>
        <w:rPr>
          <w:rFonts w:ascii="Times New Roman" w:hAnsi="Times New Roman"/>
          <w:i/>
          <w:sz w:val="24"/>
          <w:szCs w:val="24"/>
        </w:rPr>
      </w:pPr>
      <w:r w:rsidRPr="009D1FDC">
        <w:rPr>
          <w:rFonts w:ascii="Times New Roman" w:hAnsi="Times New Roman"/>
          <w:i/>
          <w:sz w:val="24"/>
          <w:szCs w:val="24"/>
        </w:rPr>
        <w:t>Je postup predávajúceho, ktorý si uplatnil nárok na zaplatenie úroku z omeškania aj z dohodnutého úroku z omeškania, ktorý nebol zaplatený v dohodnutej výške?</w:t>
      </w:r>
    </w:p>
    <w:p w:rsidR="009D1FDC" w:rsidRPr="009D1FDC" w:rsidRDefault="009D1FDC" w:rsidP="009D1FDC">
      <w:pPr>
        <w:pStyle w:val="Odsekzoznamu"/>
        <w:numPr>
          <w:ilvl w:val="1"/>
          <w:numId w:val="6"/>
        </w:numPr>
        <w:spacing w:after="0" w:line="240" w:lineRule="auto"/>
        <w:ind w:left="993" w:hanging="284"/>
        <w:jc w:val="both"/>
        <w:rPr>
          <w:rFonts w:ascii="Times New Roman" w:hAnsi="Times New Roman"/>
          <w:i/>
          <w:sz w:val="24"/>
          <w:szCs w:val="24"/>
        </w:rPr>
      </w:pPr>
      <w:r w:rsidRPr="009D1FDC">
        <w:rPr>
          <w:rFonts w:ascii="Times New Roman" w:hAnsi="Times New Roman"/>
          <w:i/>
          <w:sz w:val="24"/>
          <w:szCs w:val="24"/>
        </w:rPr>
        <w:t>V akej výške si môžu zmluvné strany dohodnúť úroky z omeškania za meškanie peňažného záväzku?</w:t>
      </w:r>
    </w:p>
    <w:p w:rsidR="009D1FDC" w:rsidRPr="009D1FDC" w:rsidRDefault="009D1FDC" w:rsidP="009D1FDC">
      <w:pPr>
        <w:pStyle w:val="Odsekzoznamu"/>
        <w:numPr>
          <w:ilvl w:val="1"/>
          <w:numId w:val="6"/>
        </w:numPr>
        <w:spacing w:after="0" w:line="240" w:lineRule="auto"/>
        <w:ind w:left="993" w:hanging="284"/>
        <w:jc w:val="both"/>
        <w:rPr>
          <w:rFonts w:ascii="Times New Roman" w:hAnsi="Times New Roman"/>
          <w:i/>
          <w:sz w:val="24"/>
          <w:szCs w:val="24"/>
        </w:rPr>
      </w:pPr>
      <w:r w:rsidRPr="009D1FDC">
        <w:rPr>
          <w:rFonts w:ascii="Times New Roman" w:hAnsi="Times New Roman"/>
          <w:i/>
          <w:sz w:val="24"/>
          <w:szCs w:val="24"/>
        </w:rPr>
        <w:t>Akú obranu môže použiť povinná strana, ak sa domnieva, že výška úroku z omeškania je neprimeraná?</w:t>
      </w:r>
    </w:p>
    <w:p w:rsidR="00D575DD" w:rsidRPr="00D575DD" w:rsidRDefault="009D1FDC" w:rsidP="00D575DD">
      <w:pPr>
        <w:pStyle w:val="Odsekzoznamu"/>
        <w:numPr>
          <w:ilvl w:val="1"/>
          <w:numId w:val="6"/>
        </w:numPr>
        <w:spacing w:after="0" w:line="240" w:lineRule="auto"/>
        <w:ind w:left="993" w:hanging="284"/>
        <w:jc w:val="both"/>
        <w:rPr>
          <w:rFonts w:ascii="Times New Roman" w:hAnsi="Times New Roman"/>
          <w:sz w:val="24"/>
          <w:szCs w:val="24"/>
        </w:rPr>
      </w:pPr>
      <w:r w:rsidRPr="009D1FDC">
        <w:rPr>
          <w:rFonts w:ascii="Times New Roman" w:hAnsi="Times New Roman"/>
          <w:i/>
          <w:sz w:val="24"/>
          <w:szCs w:val="24"/>
        </w:rPr>
        <w:t>Zmenila by sa situácia, keby dohoda o uznaní obsahovala ustanovenie o zmluvnej pokute vo výške 2% denne?</w:t>
      </w:r>
    </w:p>
    <w:p w:rsidR="009D1FDC" w:rsidRDefault="00D575DD" w:rsidP="00D575DD">
      <w:pPr>
        <w:pStyle w:val="Odsekzoznamu"/>
        <w:spacing w:after="0" w:line="240" w:lineRule="auto"/>
        <w:ind w:left="993"/>
        <w:jc w:val="both"/>
        <w:rPr>
          <w:rFonts w:ascii="Times New Roman" w:hAnsi="Times New Roman"/>
          <w:sz w:val="24"/>
          <w:szCs w:val="24"/>
        </w:rPr>
      </w:pPr>
      <w:r>
        <w:rPr>
          <w:rFonts w:ascii="Times New Roman" w:hAnsi="Times New Roman"/>
          <w:sz w:val="24"/>
          <w:szCs w:val="24"/>
        </w:rPr>
        <w:t xml:space="preserve"> </w:t>
      </w:r>
    </w:p>
    <w:p w:rsidR="009D1FDC" w:rsidRDefault="009D1FDC" w:rsidP="009D1FDC">
      <w:pPr>
        <w:pStyle w:val="Odsekzoznamu"/>
        <w:spacing w:after="0" w:line="240" w:lineRule="auto"/>
        <w:ind w:left="502"/>
        <w:jc w:val="both"/>
        <w:rPr>
          <w:rFonts w:ascii="Times New Roman" w:hAnsi="Times New Roman"/>
          <w:b/>
          <w:sz w:val="24"/>
          <w:szCs w:val="24"/>
        </w:rPr>
      </w:pPr>
      <w:r w:rsidRPr="009D1FDC">
        <w:rPr>
          <w:rFonts w:ascii="Times New Roman" w:hAnsi="Times New Roman"/>
          <w:sz w:val="24"/>
          <w:szCs w:val="24"/>
        </w:rPr>
        <w:t xml:space="preserve">Pozri k tomu </w:t>
      </w:r>
      <w:r w:rsidRPr="009D1FDC">
        <w:rPr>
          <w:rFonts w:ascii="Times New Roman" w:hAnsi="Times New Roman"/>
          <w:b/>
          <w:sz w:val="24"/>
          <w:szCs w:val="24"/>
        </w:rPr>
        <w:t>Nález Ústavného sudu SR III. ÚS 107/07-43 z 30.10.2007</w:t>
      </w:r>
    </w:p>
    <w:p w:rsidR="00D44238" w:rsidRPr="009D1FDC" w:rsidRDefault="00D44238" w:rsidP="009D1FDC">
      <w:pPr>
        <w:pStyle w:val="Odsekzoznamu"/>
        <w:spacing w:after="0" w:line="240" w:lineRule="auto"/>
        <w:ind w:left="502"/>
        <w:jc w:val="both"/>
        <w:rPr>
          <w:rFonts w:ascii="Times New Roman" w:hAnsi="Times New Roman"/>
          <w:sz w:val="24"/>
          <w:szCs w:val="24"/>
        </w:rPr>
      </w:pPr>
    </w:p>
    <w:sectPr w:rsidR="00D44238" w:rsidRPr="009D1FDC" w:rsidSect="00D44238">
      <w:pgSz w:w="11906" w:h="16838"/>
      <w:pgMar w:top="1135" w:right="141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77105"/>
    <w:multiLevelType w:val="hybridMultilevel"/>
    <w:tmpl w:val="6DB09768"/>
    <w:lvl w:ilvl="0" w:tplc="041B000F">
      <w:start w:val="1"/>
      <w:numFmt w:val="decimal"/>
      <w:lvlText w:val="%1."/>
      <w:lvlJc w:val="left"/>
      <w:pPr>
        <w:ind w:left="502" w:hanging="360"/>
      </w:pPr>
    </w:lvl>
    <w:lvl w:ilvl="1" w:tplc="F4286C8A">
      <w:start w:val="1"/>
      <w:numFmt w:val="lowerLetter"/>
      <w:lvlText w:val="%2)"/>
      <w:lvlJc w:val="left"/>
      <w:pPr>
        <w:ind w:left="952" w:hanging="90"/>
      </w:pPr>
      <w:rPr>
        <w:rFonts w:hint="default"/>
      </w:r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 w15:restartNumberingAfterBreak="0">
    <w:nsid w:val="08670650"/>
    <w:multiLevelType w:val="hybridMultilevel"/>
    <w:tmpl w:val="71426A9E"/>
    <w:lvl w:ilvl="0" w:tplc="CFFA5B78">
      <w:start w:val="1"/>
      <w:numFmt w:val="decimal"/>
      <w:lvlText w:val="%1."/>
      <w:lvlJc w:val="left"/>
      <w:pPr>
        <w:ind w:left="470" w:hanging="11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6A5ABE"/>
    <w:multiLevelType w:val="hybridMultilevel"/>
    <w:tmpl w:val="DDA0ED16"/>
    <w:lvl w:ilvl="0" w:tplc="041B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501342"/>
    <w:multiLevelType w:val="hybridMultilevel"/>
    <w:tmpl w:val="E4124A38"/>
    <w:lvl w:ilvl="0" w:tplc="02DE3D02">
      <w:start w:val="2"/>
      <w:numFmt w:val="bullet"/>
      <w:lvlText w:val="-"/>
      <w:lvlJc w:val="left"/>
      <w:pPr>
        <w:ind w:left="862" w:hanging="360"/>
      </w:pPr>
      <w:rPr>
        <w:rFonts w:ascii="Times New Roman" w:eastAsia="Calibri" w:hAnsi="Times New Roman" w:cs="Times New Roman"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4" w15:restartNumberingAfterBreak="0">
    <w:nsid w:val="58A508B3"/>
    <w:multiLevelType w:val="hybridMultilevel"/>
    <w:tmpl w:val="FA147C16"/>
    <w:lvl w:ilvl="0" w:tplc="041B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D763C3D"/>
    <w:multiLevelType w:val="hybridMultilevel"/>
    <w:tmpl w:val="4B9E7F88"/>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D3D6795"/>
    <w:multiLevelType w:val="hybridMultilevel"/>
    <w:tmpl w:val="0C3CBB30"/>
    <w:lvl w:ilvl="0" w:tplc="041B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6"/>
  </w:num>
  <w:num w:numId="4">
    <w:abstractNumId w:val="4"/>
  </w:num>
  <w:num w:numId="5">
    <w:abstractNumId w:val="2"/>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FDC"/>
    <w:rsid w:val="001B730D"/>
    <w:rsid w:val="00804863"/>
    <w:rsid w:val="009D1FDC"/>
    <w:rsid w:val="00B668B1"/>
    <w:rsid w:val="00D44238"/>
    <w:rsid w:val="00D575DD"/>
    <w:rsid w:val="00DB3EF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FD7CF"/>
  <w15:chartTrackingRefBased/>
  <w15:docId w15:val="{80975D3F-D151-4D52-8264-DFB28FD4D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9D1FDC"/>
    <w:rPr>
      <w:rFonts w:ascii="Calibri" w:eastAsia="Calibri" w:hAnsi="Calibri" w:cs="Times New Roma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9D1FDC"/>
    <w:pPr>
      <w:ind w:left="720"/>
      <w:contextualSpacing/>
    </w:pPr>
  </w:style>
  <w:style w:type="paragraph" w:styleId="Textbubliny">
    <w:name w:val="Balloon Text"/>
    <w:basedOn w:val="Normlny"/>
    <w:link w:val="TextbublinyChar"/>
    <w:uiPriority w:val="99"/>
    <w:semiHidden/>
    <w:unhideWhenUsed/>
    <w:rsid w:val="00D44238"/>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D44238"/>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456</Words>
  <Characters>2602</Characters>
  <Application>Microsoft Office Word</Application>
  <DocSecurity>0</DocSecurity>
  <Lines>21</Lines>
  <Paragraphs>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Zofia Mrázová</dc:creator>
  <cp:keywords/>
  <dc:description/>
  <cp:lastModifiedBy>Zofia Mrázová</cp:lastModifiedBy>
  <cp:revision>3</cp:revision>
  <cp:lastPrinted>2018-03-28T08:01:00Z</cp:lastPrinted>
  <dcterms:created xsi:type="dcterms:W3CDTF">2019-02-12T12:02:00Z</dcterms:created>
  <dcterms:modified xsi:type="dcterms:W3CDTF">2019-02-12T12:05:00Z</dcterms:modified>
</cp:coreProperties>
</file>