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bookmarkStart w:id="0" w:name="_GoBack"/>
      <w:bookmarkEnd w:id="0"/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D2D">
        <w:rPr>
          <w:rFonts w:ascii="Arial" w:eastAsia="Times New Roman" w:hAnsi="Arial" w:cs="Arial"/>
          <w:iCs/>
          <w:sz w:val="18"/>
          <w:szCs w:val="18"/>
        </w:rPr>
        <w:t>q</w:t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Pr="00FB1E07" w:rsidRDefault="00A370C7" w:rsidP="00FB1E0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="00142A1A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="00142A1A">
        <w:rPr>
          <w:rFonts w:ascii="Arial" w:eastAsia="Times New Roman" w:hAnsi="Arial" w:cs="Arial"/>
          <w:iCs/>
          <w:sz w:val="18"/>
          <w:szCs w:val="18"/>
        </w:rPr>
        <w:tab/>
      </w:r>
      <w:r w:rsidR="00142A1A">
        <w:rPr>
          <w:rFonts w:ascii="Arial" w:eastAsia="Times New Roman" w:hAnsi="Arial" w:cs="Arial"/>
          <w:iCs/>
          <w:sz w:val="18"/>
          <w:szCs w:val="18"/>
        </w:rPr>
        <w:tab/>
      </w:r>
      <w:r w:rsidR="00142A1A">
        <w:rPr>
          <w:rFonts w:ascii="Arial" w:eastAsia="Times New Roman" w:hAnsi="Arial" w:cs="Arial"/>
          <w:iCs/>
          <w:sz w:val="18"/>
          <w:szCs w:val="18"/>
        </w:rPr>
        <w:tab/>
      </w:r>
      <w:r w:rsidR="00142A1A">
        <w:rPr>
          <w:rFonts w:ascii="Arial" w:eastAsia="Times New Roman" w:hAnsi="Arial" w:cs="Arial"/>
          <w:iCs/>
          <w:sz w:val="18"/>
          <w:szCs w:val="18"/>
        </w:rPr>
        <w:tab/>
      </w:r>
      <w:r w:rsidR="00142A1A">
        <w:rPr>
          <w:rFonts w:ascii="Arial" w:eastAsia="Times New Roman" w:hAnsi="Arial" w:cs="Arial"/>
          <w:iCs/>
          <w:sz w:val="18"/>
          <w:szCs w:val="18"/>
        </w:rPr>
        <w:tab/>
      </w:r>
      <w:r w:rsidR="00142A1A">
        <w:rPr>
          <w:rFonts w:ascii="Arial" w:eastAsia="Times New Roman" w:hAnsi="Arial" w:cs="Arial"/>
          <w:iCs/>
          <w:sz w:val="18"/>
          <w:szCs w:val="18"/>
        </w:rPr>
        <w:tab/>
      </w:r>
      <w:r w:rsidR="00142A1A"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>Vec :</w:t>
      </w:r>
      <w:r w:rsidRPr="004F16A9">
        <w:rPr>
          <w:rFonts w:ascii="Arial" w:eastAsia="Times New Roman" w:hAnsi="Arial" w:cs="Arial"/>
          <w:lang w:eastAsia="cs-CZ"/>
        </w:rPr>
        <w:t xml:space="preserve"> 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4F16A9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9A1F4A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001E36">
        <w:rPr>
          <w:rFonts w:ascii="Arial" w:eastAsia="Times New Roman" w:hAnsi="Arial" w:cs="Arial"/>
          <w:lang w:eastAsia="cs-CZ"/>
        </w:rPr>
        <w:t>§ 9 ods. 9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F16A9">
        <w:rPr>
          <w:rFonts w:ascii="Arial" w:eastAsia="Times New Roman" w:hAnsi="Arial" w:cs="Arial"/>
          <w:lang w:eastAsia="cs-CZ"/>
        </w:rPr>
        <w:t>zákona č. 25/2006 Z. z. o verejnom obstarávaní a o zmene a doplnení niektorých zákonov v znení neskorších predpisov, Vás týmto  vyzýva na predloženie ponuky na</w:t>
      </w:r>
      <w:r w:rsidR="009A1F4A">
        <w:rPr>
          <w:rFonts w:ascii="Arial" w:eastAsia="Times New Roman" w:hAnsi="Arial" w:cs="Arial"/>
          <w:lang w:eastAsia="cs-CZ"/>
        </w:rPr>
        <w:t>:</w:t>
      </w:r>
    </w:p>
    <w:p w:rsidR="009A1F4A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9A1F4A" w:rsidRDefault="009A1F4A" w:rsidP="009A1F4A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A370C7" w:rsidRPr="009A1F4A">
        <w:rPr>
          <w:rFonts w:ascii="Arial" w:eastAsia="Times New Roman" w:hAnsi="Arial" w:cs="Arial"/>
          <w:b/>
          <w:lang w:eastAsia="cs-CZ"/>
        </w:rPr>
        <w:t>redmet zákazky</w:t>
      </w:r>
      <w:r w:rsidR="00A370C7" w:rsidRPr="009A1F4A">
        <w:rPr>
          <w:rFonts w:ascii="Arial" w:eastAsia="Times New Roman" w:hAnsi="Arial" w:cs="Arial"/>
          <w:lang w:eastAsia="cs-CZ"/>
        </w:rPr>
        <w:t>:</w:t>
      </w:r>
      <w:r w:rsidR="00142A1A">
        <w:rPr>
          <w:rFonts w:ascii="Arial" w:eastAsia="Times New Roman" w:hAnsi="Arial" w:cs="Arial"/>
          <w:b/>
        </w:rPr>
        <w:t xml:space="preserve">  „ </w:t>
      </w:r>
      <w:r w:rsidR="00E92E7A">
        <w:rPr>
          <w:rFonts w:ascii="Arial" w:eastAsia="Times New Roman" w:hAnsi="Arial" w:cs="Arial"/>
          <w:b/>
        </w:rPr>
        <w:t xml:space="preserve">Rekonštrukcia dátovej siete Oddelenia didaktiky fyziky UFV </w:t>
      </w:r>
      <w:r w:rsidR="00FB1E07">
        <w:rPr>
          <w:rFonts w:ascii="Arial" w:eastAsia="Times New Roman" w:hAnsi="Arial" w:cs="Arial"/>
          <w:b/>
        </w:rPr>
        <w:t xml:space="preserve"> PF</w:t>
      </w:r>
      <w:r w:rsidR="00A370C7" w:rsidRPr="009A1F4A">
        <w:rPr>
          <w:rFonts w:ascii="Arial" w:eastAsia="Times New Roman" w:hAnsi="Arial" w:cs="Arial"/>
          <w:b/>
        </w:rPr>
        <w:t>“</w:t>
      </w:r>
    </w:p>
    <w:p w:rsidR="00A370C7" w:rsidRPr="004F16A9" w:rsidRDefault="009A3BB7" w:rsidP="00BC5AE9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Predmetom zákazky je rekonštrukcia dátovej siete v priestoroch Oddelenia didaktiky fyziky UFV PF podľa </w:t>
      </w:r>
      <w:r w:rsidR="00934BF7">
        <w:rPr>
          <w:rFonts w:ascii="Arial" w:eastAsia="Times New Roman" w:hAnsi="Arial" w:cs="Arial"/>
          <w:lang w:eastAsia="cs-CZ"/>
        </w:rPr>
        <w:t xml:space="preserve">zoznamu položiek uvedených v prílohe č. 1 a </w:t>
      </w:r>
      <w:r>
        <w:rPr>
          <w:rFonts w:ascii="Arial" w:eastAsia="Times New Roman" w:hAnsi="Arial" w:cs="Arial"/>
          <w:lang w:eastAsia="cs-CZ"/>
        </w:rPr>
        <w:t xml:space="preserve">schémy </w:t>
      </w:r>
      <w:r w:rsidR="00934BF7">
        <w:rPr>
          <w:rFonts w:ascii="Arial" w:eastAsia="Times New Roman" w:hAnsi="Arial" w:cs="Arial"/>
          <w:lang w:eastAsia="cs-CZ"/>
        </w:rPr>
        <w:t xml:space="preserve">dátovej siete </w:t>
      </w:r>
      <w:r>
        <w:rPr>
          <w:rFonts w:ascii="Arial" w:eastAsia="Times New Roman" w:hAnsi="Arial" w:cs="Arial"/>
          <w:lang w:eastAsia="cs-CZ"/>
        </w:rPr>
        <w:t xml:space="preserve">uvedenej v prílohe č. 2. </w:t>
      </w:r>
      <w:r w:rsidR="00934BF7">
        <w:rPr>
          <w:rFonts w:ascii="Arial" w:eastAsia="Times New Roman" w:hAnsi="Arial" w:cs="Arial"/>
          <w:lang w:eastAsia="cs-CZ"/>
        </w:rPr>
        <w:t>Požadujeme dodanie funkčného celku</w:t>
      </w:r>
      <w:r w:rsidR="00065EDF">
        <w:rPr>
          <w:rFonts w:ascii="Arial" w:eastAsia="Times New Roman" w:hAnsi="Arial" w:cs="Arial"/>
          <w:lang w:eastAsia="cs-CZ"/>
        </w:rPr>
        <w:t>, ktorý bude možné pripojiť do existujúcej sieťovej infraštruktúry.</w:t>
      </w:r>
      <w:r w:rsidR="00F353FC">
        <w:rPr>
          <w:rFonts w:ascii="Arial" w:eastAsia="Times New Roman" w:hAnsi="Arial" w:cs="Arial"/>
          <w:lang w:eastAsia="cs-CZ"/>
        </w:rPr>
        <w:t xml:space="preserve"> Predmetná dátová sieť sa bude pripájať </w:t>
      </w:r>
      <w:proofErr w:type="spellStart"/>
      <w:r w:rsidR="00F353FC">
        <w:rPr>
          <w:rFonts w:ascii="Arial" w:eastAsia="Times New Roman" w:hAnsi="Arial" w:cs="Arial"/>
          <w:lang w:eastAsia="cs-CZ"/>
        </w:rPr>
        <w:t>metalickým</w:t>
      </w:r>
      <w:proofErr w:type="spellEnd"/>
      <w:r w:rsidR="00F353FC">
        <w:rPr>
          <w:rFonts w:ascii="Arial" w:eastAsia="Times New Roman" w:hAnsi="Arial" w:cs="Arial"/>
          <w:lang w:eastAsia="cs-CZ"/>
        </w:rPr>
        <w:t xml:space="preserve"> káblom kategórie  minimálne 6A</w:t>
      </w:r>
      <w:r w:rsidR="00BC5AE9">
        <w:rPr>
          <w:rFonts w:ascii="Arial" w:eastAsia="Times New Roman" w:hAnsi="Arial" w:cs="Arial"/>
          <w:lang w:eastAsia="cs-CZ"/>
        </w:rPr>
        <w:t xml:space="preserve">. </w:t>
      </w:r>
      <w:r w:rsidR="00691AD8">
        <w:rPr>
          <w:rFonts w:ascii="Arial" w:eastAsia="Times New Roman" w:hAnsi="Arial" w:cs="Arial"/>
          <w:lang w:eastAsia="cs-CZ"/>
        </w:rPr>
        <w:t>Súčasťou predmetu zákazky je elektrické pripojenie dátové</w:t>
      </w:r>
      <w:r w:rsidR="00DF2E7D">
        <w:rPr>
          <w:rFonts w:ascii="Arial" w:eastAsia="Times New Roman" w:hAnsi="Arial" w:cs="Arial"/>
          <w:lang w:eastAsia="cs-CZ"/>
        </w:rPr>
        <w:t>ho</w:t>
      </w:r>
      <w:r w:rsidR="00691AD8">
        <w:rPr>
          <w:rFonts w:ascii="Arial" w:eastAsia="Times New Roman" w:hAnsi="Arial" w:cs="Arial"/>
          <w:lang w:eastAsia="cs-CZ"/>
        </w:rPr>
        <w:t xml:space="preserve"> rozvádzača a jeho </w:t>
      </w:r>
      <w:r w:rsidR="00D347FD">
        <w:rPr>
          <w:rFonts w:ascii="Arial" w:eastAsia="Times New Roman" w:hAnsi="Arial" w:cs="Arial"/>
          <w:lang w:eastAsia="cs-CZ"/>
        </w:rPr>
        <w:t>osade</w:t>
      </w:r>
      <w:r w:rsidR="006F36F5">
        <w:rPr>
          <w:rFonts w:ascii="Arial" w:eastAsia="Times New Roman" w:hAnsi="Arial" w:cs="Arial"/>
          <w:lang w:eastAsia="cs-CZ"/>
        </w:rPr>
        <w:t>nie sieťovým prepínačom. Súčasťou predmetu zákazky je aj</w:t>
      </w:r>
      <w:r w:rsidR="00FD077E">
        <w:rPr>
          <w:rFonts w:ascii="Arial" w:eastAsia="Times New Roman" w:hAnsi="Arial" w:cs="Arial"/>
          <w:lang w:eastAsia="cs-CZ"/>
        </w:rPr>
        <w:t xml:space="preserve"> prepojenie existujúcich </w:t>
      </w:r>
      <w:r w:rsidR="00C05CC0">
        <w:rPr>
          <w:rFonts w:ascii="Arial" w:eastAsia="Times New Roman" w:hAnsi="Arial" w:cs="Arial"/>
          <w:lang w:eastAsia="cs-CZ"/>
        </w:rPr>
        <w:t>dátových káblov</w:t>
      </w:r>
      <w:r w:rsidR="006F36F5">
        <w:rPr>
          <w:rFonts w:ascii="Arial" w:eastAsia="Times New Roman" w:hAnsi="Arial" w:cs="Arial"/>
          <w:lang w:eastAsia="cs-CZ"/>
        </w:rPr>
        <w:t xml:space="preserve"> (16 ks)</w:t>
      </w:r>
      <w:r w:rsidR="00C05CC0">
        <w:rPr>
          <w:rFonts w:ascii="Arial" w:eastAsia="Times New Roman" w:hAnsi="Arial" w:cs="Arial"/>
          <w:lang w:eastAsia="cs-CZ"/>
        </w:rPr>
        <w:t xml:space="preserve"> z miestnosti č. 84 (</w:t>
      </w:r>
      <w:proofErr w:type="spellStart"/>
      <w:r w:rsidR="00C05CC0">
        <w:rPr>
          <w:rFonts w:ascii="Arial" w:eastAsia="Times New Roman" w:hAnsi="Arial" w:cs="Arial"/>
          <w:lang w:eastAsia="cs-CZ"/>
        </w:rPr>
        <w:t>laborátorium</w:t>
      </w:r>
      <w:proofErr w:type="spellEnd"/>
      <w:r w:rsidR="00C05CC0">
        <w:rPr>
          <w:rFonts w:ascii="Arial" w:eastAsia="Times New Roman" w:hAnsi="Arial" w:cs="Arial"/>
          <w:lang w:eastAsia="cs-CZ"/>
        </w:rPr>
        <w:t>)</w:t>
      </w:r>
      <w:r w:rsidR="006F36F5">
        <w:rPr>
          <w:rFonts w:ascii="Arial" w:eastAsia="Times New Roman" w:hAnsi="Arial" w:cs="Arial"/>
          <w:lang w:eastAsia="cs-CZ"/>
        </w:rPr>
        <w:t xml:space="preserve"> do dátového rozvádzača. </w:t>
      </w:r>
      <w:r w:rsidR="00D347FD">
        <w:rPr>
          <w:rFonts w:ascii="Arial" w:eastAsia="Times New Roman" w:hAnsi="Arial" w:cs="Arial"/>
          <w:lang w:eastAsia="cs-CZ"/>
        </w:rPr>
        <w:t xml:space="preserve">Aby bola zaistená </w:t>
      </w:r>
      <w:r w:rsidR="00BC5AE9">
        <w:rPr>
          <w:rFonts w:ascii="Arial" w:eastAsia="Times New Roman" w:hAnsi="Arial" w:cs="Arial"/>
          <w:lang w:eastAsia="cs-CZ"/>
        </w:rPr>
        <w:t>kompatibilita s existujúcou infraštruktúrou, je potrebné, aby sieťový prepínač spĺňal</w:t>
      </w:r>
      <w:r w:rsidR="00D347FD">
        <w:rPr>
          <w:rFonts w:ascii="Arial" w:eastAsia="Times New Roman" w:hAnsi="Arial" w:cs="Arial"/>
          <w:lang w:eastAsia="cs-CZ"/>
        </w:rPr>
        <w:t xml:space="preserve"> minimálne požiadavky uvedené v rámci položiek v prílohe č. 1</w:t>
      </w:r>
      <w:r w:rsidR="00BC5AE9">
        <w:rPr>
          <w:rFonts w:ascii="Arial" w:eastAsia="Times New Roman" w:hAnsi="Arial" w:cs="Arial"/>
          <w:lang w:eastAsia="cs-CZ"/>
        </w:rPr>
        <w:t>.</w:t>
      </w:r>
    </w:p>
    <w:p w:rsidR="00A370C7" w:rsidRDefault="00F20F03" w:rsidP="00BC5AE9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Príloha č. 1 obsahuje základný výpočet položiek</w:t>
      </w:r>
      <w:r w:rsidR="00040940">
        <w:rPr>
          <w:rFonts w:ascii="Arial" w:eastAsia="Times New Roman" w:hAnsi="Arial" w:cs="Arial"/>
          <w:lang w:eastAsia="cs-CZ"/>
        </w:rPr>
        <w:t xml:space="preserve"> a ich množstvo potrebné</w:t>
      </w:r>
      <w:r>
        <w:rPr>
          <w:rFonts w:ascii="Arial" w:eastAsia="Times New Roman" w:hAnsi="Arial" w:cs="Arial"/>
          <w:lang w:eastAsia="cs-CZ"/>
        </w:rPr>
        <w:t xml:space="preserve"> na rekonštrukciu </w:t>
      </w:r>
      <w:r w:rsidR="00040940">
        <w:rPr>
          <w:rFonts w:ascii="Arial" w:eastAsia="Times New Roman" w:hAnsi="Arial" w:cs="Arial"/>
          <w:lang w:eastAsia="cs-CZ"/>
        </w:rPr>
        <w:t xml:space="preserve">predmetnej </w:t>
      </w:r>
      <w:r>
        <w:rPr>
          <w:rFonts w:ascii="Arial" w:eastAsia="Times New Roman" w:hAnsi="Arial" w:cs="Arial"/>
          <w:lang w:eastAsia="cs-CZ"/>
        </w:rPr>
        <w:t xml:space="preserve">dátovej siete. </w:t>
      </w:r>
      <w:r w:rsidR="006903AC">
        <w:rPr>
          <w:rFonts w:ascii="Arial" w:eastAsia="Times New Roman" w:hAnsi="Arial" w:cs="Arial"/>
          <w:lang w:eastAsia="cs-CZ"/>
        </w:rPr>
        <w:t xml:space="preserve">V prípade, ak v zozname položiek chýba </w:t>
      </w:r>
      <w:r w:rsidR="00A912B3">
        <w:rPr>
          <w:rFonts w:ascii="Arial" w:eastAsia="Times New Roman" w:hAnsi="Arial" w:cs="Arial"/>
          <w:lang w:eastAsia="cs-CZ"/>
        </w:rPr>
        <w:t>taká polož</w:t>
      </w:r>
      <w:r w:rsidR="00DA5FF2">
        <w:rPr>
          <w:rFonts w:ascii="Arial" w:eastAsia="Times New Roman" w:hAnsi="Arial" w:cs="Arial"/>
          <w:lang w:eastAsia="cs-CZ"/>
        </w:rPr>
        <w:t>ka, bez ktorej by rekonštruovanú dátovú</w:t>
      </w:r>
      <w:r w:rsidR="00A912B3">
        <w:rPr>
          <w:rFonts w:ascii="Arial" w:eastAsia="Times New Roman" w:hAnsi="Arial" w:cs="Arial"/>
          <w:lang w:eastAsia="cs-CZ"/>
        </w:rPr>
        <w:t xml:space="preserve"> sieť </w:t>
      </w:r>
      <w:r w:rsidR="004B0AE2">
        <w:rPr>
          <w:rFonts w:ascii="Arial" w:eastAsia="Times New Roman" w:hAnsi="Arial" w:cs="Arial"/>
          <w:lang w:eastAsia="cs-CZ"/>
        </w:rPr>
        <w:t>nebolo možné využívať ako dátovú sieť</w:t>
      </w:r>
      <w:r w:rsidR="00A912B3">
        <w:rPr>
          <w:rFonts w:ascii="Arial" w:eastAsia="Times New Roman" w:hAnsi="Arial" w:cs="Arial"/>
          <w:lang w:eastAsia="cs-CZ"/>
        </w:rPr>
        <w:t>, je nutné ta</w:t>
      </w:r>
      <w:r w:rsidR="00042A99">
        <w:rPr>
          <w:rFonts w:ascii="Arial" w:eastAsia="Times New Roman" w:hAnsi="Arial" w:cs="Arial"/>
          <w:lang w:eastAsia="cs-CZ"/>
        </w:rPr>
        <w:t>kúto položku doplniť do ponuky,</w:t>
      </w:r>
      <w:r w:rsidR="00A912B3">
        <w:rPr>
          <w:rFonts w:ascii="Arial" w:eastAsia="Times New Roman" w:hAnsi="Arial" w:cs="Arial"/>
          <w:lang w:eastAsia="cs-CZ"/>
        </w:rPr>
        <w:t xml:space="preserve"> </w:t>
      </w:r>
      <w:r w:rsidR="00042A99">
        <w:rPr>
          <w:rFonts w:ascii="Arial" w:eastAsia="Times New Roman" w:hAnsi="Arial" w:cs="Arial"/>
          <w:lang w:eastAsia="cs-CZ"/>
        </w:rPr>
        <w:t>oceniť a zarátať do celkovej ceny.</w:t>
      </w:r>
      <w:r w:rsidR="00A912B3">
        <w:rPr>
          <w:rFonts w:ascii="Arial" w:eastAsia="Times New Roman" w:hAnsi="Arial" w:cs="Arial"/>
          <w:lang w:eastAsia="cs-CZ"/>
        </w:rPr>
        <w:t xml:space="preserve"> </w:t>
      </w:r>
      <w:r w:rsidR="00C80699">
        <w:rPr>
          <w:rFonts w:ascii="Arial" w:eastAsia="Times New Roman" w:hAnsi="Arial" w:cs="Arial"/>
          <w:lang w:eastAsia="cs-CZ"/>
        </w:rPr>
        <w:t xml:space="preserve"> </w:t>
      </w:r>
    </w:p>
    <w:p w:rsidR="00042A99" w:rsidRDefault="00042A99" w:rsidP="00BC5AE9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Špecifikácia položiek </w:t>
      </w:r>
      <w:r w:rsidR="00A702A7">
        <w:rPr>
          <w:rFonts w:ascii="Arial" w:eastAsia="Times New Roman" w:hAnsi="Arial" w:cs="Arial"/>
          <w:lang w:eastAsia="cs-CZ"/>
        </w:rPr>
        <w:t>v prílohe č. 1 predstavuje minimálne požiadavky kladené na jednotlivé položky.</w:t>
      </w:r>
      <w:r w:rsidR="00691AD8">
        <w:rPr>
          <w:rFonts w:ascii="Arial" w:eastAsia="Times New Roman" w:hAnsi="Arial" w:cs="Arial"/>
          <w:lang w:eastAsia="cs-CZ"/>
        </w:rPr>
        <w:t xml:space="preserve"> </w:t>
      </w: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A1F4A" w:rsidRDefault="009A1F4A" w:rsidP="008F600F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Kód CPV</w:t>
      </w:r>
      <w:r w:rsidR="00B07826">
        <w:rPr>
          <w:rFonts w:ascii="Arial" w:eastAsia="Times New Roman" w:hAnsi="Arial" w:cs="Arial"/>
          <w:b/>
          <w:lang w:eastAsia="cs-CZ"/>
        </w:rPr>
        <w:t xml:space="preserve">: </w:t>
      </w:r>
      <w:r w:rsidR="004F45D0" w:rsidRPr="00DD6FE9">
        <w:rPr>
          <w:rStyle w:val="apple-converted-space"/>
          <w:rFonts w:ascii="Arial" w:hAnsi="Arial" w:cs="Arial"/>
          <w:color w:val="222222"/>
          <w:szCs w:val="20"/>
          <w:shd w:val="clear" w:color="auto" w:fill="FFFFFF"/>
        </w:rPr>
        <w:t xml:space="preserve">32428000-9 </w:t>
      </w:r>
      <w:r w:rsidR="004F1ABB">
        <w:rPr>
          <w:rStyle w:val="apple-converted-space"/>
          <w:rFonts w:ascii="Arial" w:hAnsi="Arial" w:cs="Arial"/>
          <w:color w:val="222222"/>
          <w:szCs w:val="20"/>
          <w:shd w:val="clear" w:color="auto" w:fill="FFFFFF"/>
        </w:rPr>
        <w:t>(</w:t>
      </w:r>
      <w:r w:rsidR="004F45D0" w:rsidRPr="00DD6FE9">
        <w:rPr>
          <w:rStyle w:val="apple-converted-space"/>
          <w:rFonts w:ascii="Arial" w:hAnsi="Arial" w:cs="Arial"/>
          <w:color w:val="222222"/>
          <w:szCs w:val="20"/>
          <w:shd w:val="clear" w:color="auto" w:fill="FFFFFF"/>
        </w:rPr>
        <w:t>Vylepšenie/aktualizovanie siete</w:t>
      </w:r>
      <w:r w:rsidR="004F1ABB">
        <w:rPr>
          <w:rStyle w:val="apple-converted-space"/>
          <w:rFonts w:ascii="Arial" w:hAnsi="Arial" w:cs="Arial"/>
          <w:color w:val="222222"/>
          <w:szCs w:val="20"/>
          <w:shd w:val="clear" w:color="auto" w:fill="FFFFFF"/>
        </w:rPr>
        <w:t>)</w:t>
      </w:r>
      <w:r w:rsidR="004F45D0" w:rsidRPr="00DD6FE9">
        <w:rPr>
          <w:rStyle w:val="apple-converted-space"/>
          <w:rFonts w:ascii="Arial" w:hAnsi="Arial" w:cs="Arial"/>
          <w:color w:val="222222"/>
          <w:szCs w:val="20"/>
          <w:shd w:val="clear" w:color="auto" w:fill="FFFFFF"/>
        </w:rPr>
        <w:t xml:space="preserve"> </w:t>
      </w:r>
    </w:p>
    <w:p w:rsidR="008600FB" w:rsidRDefault="008600FB" w:rsidP="008600FB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</w:p>
    <w:p w:rsidR="008600FB" w:rsidRPr="00DD6FE9" w:rsidRDefault="008600FB" w:rsidP="00DD6FE9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FB1E07">
        <w:rPr>
          <w:rFonts w:ascii="Arial" w:eastAsia="Times New Roman" w:hAnsi="Arial" w:cs="Arial"/>
          <w:lang w:eastAsia="cs-CZ"/>
        </w:rPr>
        <w:t xml:space="preserve">Ponuku je možné doručiť </w:t>
      </w:r>
      <w:r w:rsidRPr="00DD6FE9">
        <w:rPr>
          <w:rFonts w:ascii="Arial" w:eastAsia="Times New Roman" w:hAnsi="Arial" w:cs="Arial"/>
          <w:lang w:eastAsia="cs-CZ"/>
        </w:rPr>
        <w:t xml:space="preserve">e-mailom na adresu </w:t>
      </w:r>
      <w:proofErr w:type="spellStart"/>
      <w:r w:rsidR="00DD6FE9">
        <w:rPr>
          <w:rFonts w:ascii="Arial" w:eastAsia="Times New Roman" w:hAnsi="Arial" w:cs="Arial"/>
          <w:lang w:eastAsia="cs-CZ"/>
        </w:rPr>
        <w:t>pavol.sokol</w:t>
      </w:r>
      <w:proofErr w:type="spellEnd"/>
      <w:r w:rsidR="00FB1E07" w:rsidRPr="00DD6FE9">
        <w:rPr>
          <w:rFonts w:ascii="Arial" w:eastAsia="Times New Roman" w:hAnsi="Arial" w:cs="Arial"/>
          <w:lang w:val="en-US" w:eastAsia="cs-CZ"/>
        </w:rPr>
        <w:t>@upjs.sk</w:t>
      </w:r>
    </w:p>
    <w:p w:rsidR="008600FB" w:rsidRPr="00DD6FE9" w:rsidRDefault="008600FB" w:rsidP="00DD6F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600FB" w:rsidRP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E92E7A">
        <w:rPr>
          <w:rFonts w:ascii="Arial" w:eastAsia="Times New Roman" w:hAnsi="Arial" w:cs="Arial"/>
          <w:lang w:eastAsia="cs-CZ"/>
        </w:rPr>
        <w:t>10.10</w:t>
      </w:r>
      <w:r w:rsidR="00142A1A">
        <w:rPr>
          <w:rFonts w:ascii="Arial" w:eastAsia="Times New Roman" w:hAnsi="Arial" w:cs="Arial"/>
          <w:lang w:eastAsia="cs-CZ"/>
        </w:rPr>
        <w:t>.2013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 xml:space="preserve">do </w:t>
      </w:r>
      <w:r w:rsidR="006D1504">
        <w:rPr>
          <w:rFonts w:ascii="Arial" w:eastAsia="Times New Roman" w:hAnsi="Arial" w:cs="Arial"/>
          <w:lang w:eastAsia="cs-CZ"/>
        </w:rPr>
        <w:t>16</w:t>
      </w:r>
      <w:r w:rsidR="00142A1A">
        <w:rPr>
          <w:rFonts w:ascii="Arial" w:eastAsia="Times New Roman" w:hAnsi="Arial" w:cs="Arial"/>
          <w:lang w:eastAsia="cs-CZ"/>
        </w:rPr>
        <w:t>.</w:t>
      </w:r>
      <w:r w:rsidR="008C24B9">
        <w:rPr>
          <w:rFonts w:ascii="Arial" w:eastAsia="Times New Roman" w:hAnsi="Arial" w:cs="Arial"/>
          <w:lang w:eastAsia="cs-CZ"/>
        </w:rPr>
        <w:t>00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>hodiny.</w:t>
      </w:r>
      <w:r w:rsidR="008600FB" w:rsidRPr="008600FB">
        <w:rPr>
          <w:rFonts w:ascii="Arial" w:eastAsia="Times New Roman" w:hAnsi="Arial" w:cs="Arial"/>
          <w:lang w:eastAsia="cs-CZ"/>
        </w:rPr>
        <w:t xml:space="preserve"> Ponuka predložená po uplynutí lehoty nebude zaradená do hodnotenia.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70C7" w:rsidRPr="009A1F4A" w:rsidRDefault="00A370C7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FB1E07">
        <w:rPr>
          <w:rFonts w:ascii="Arial" w:eastAsia="Times New Roman" w:hAnsi="Arial" w:cs="Arial"/>
          <w:b/>
          <w:lang w:eastAsia="cs-CZ"/>
        </w:rPr>
        <w:t xml:space="preserve"> </w:t>
      </w:r>
      <w:r w:rsidR="00A676A4">
        <w:rPr>
          <w:rFonts w:ascii="Arial" w:eastAsia="Times New Roman" w:hAnsi="Arial" w:cs="Arial"/>
          <w:lang w:eastAsia="cs-CZ"/>
        </w:rPr>
        <w:t xml:space="preserve">3.600 </w:t>
      </w:r>
      <w:r w:rsidR="00142A1A" w:rsidRPr="00FB1E07">
        <w:rPr>
          <w:rFonts w:ascii="Arial" w:eastAsia="Times New Roman" w:hAnsi="Arial" w:cs="Arial"/>
          <w:lang w:eastAsia="cs-CZ"/>
        </w:rPr>
        <w:t>eur</w:t>
      </w:r>
      <w:r w:rsidR="00DD6FE9">
        <w:rPr>
          <w:rFonts w:ascii="Arial" w:eastAsia="Times New Roman" w:hAnsi="Arial" w:cs="Arial"/>
          <w:lang w:eastAsia="cs-CZ"/>
        </w:rPr>
        <w:t xml:space="preserve"> </w:t>
      </w:r>
      <w:r w:rsidR="00A676A4">
        <w:rPr>
          <w:rFonts w:ascii="Arial" w:eastAsia="Times New Roman" w:hAnsi="Arial" w:cs="Arial"/>
          <w:lang w:eastAsia="cs-CZ"/>
        </w:rPr>
        <w:t>bez DPH</w:t>
      </w:r>
    </w:p>
    <w:p w:rsidR="00A370C7" w:rsidRPr="004F16A9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</w:p>
    <w:p w:rsidR="00A370C7" w:rsidRPr="00FB1E07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16"/>
          <w:szCs w:val="18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 xml:space="preserve">Miesto </w:t>
      </w:r>
      <w:r w:rsidR="008600FB">
        <w:rPr>
          <w:rFonts w:ascii="Arial" w:eastAsia="Times New Roman" w:hAnsi="Arial" w:cs="Arial"/>
          <w:b/>
          <w:lang w:eastAsia="cs-CZ"/>
        </w:rPr>
        <w:t>dodania</w:t>
      </w:r>
      <w:r w:rsidRPr="008600FB">
        <w:rPr>
          <w:rFonts w:ascii="Arial" w:eastAsia="Times New Roman" w:hAnsi="Arial" w:cs="Arial"/>
          <w:b/>
          <w:lang w:eastAsia="cs-CZ"/>
        </w:rPr>
        <w:t>:</w:t>
      </w:r>
      <w:r w:rsidR="008600FB">
        <w:rPr>
          <w:rFonts w:ascii="Arial" w:eastAsia="Times New Roman" w:hAnsi="Arial" w:cs="Arial"/>
          <w:b/>
          <w:lang w:eastAsia="cs-CZ"/>
        </w:rPr>
        <w:t xml:space="preserve"> </w:t>
      </w:r>
      <w:r w:rsidR="00614D04">
        <w:rPr>
          <w:rFonts w:ascii="Arial" w:eastAsia="Times New Roman" w:hAnsi="Arial" w:cs="Arial"/>
          <w:szCs w:val="18"/>
          <w:lang w:eastAsia="cs-CZ"/>
        </w:rPr>
        <w:t>Park Angelinum 9</w:t>
      </w:r>
      <w:r w:rsidR="00142A1A" w:rsidRPr="00FB1E07">
        <w:rPr>
          <w:rFonts w:ascii="Arial" w:eastAsia="Times New Roman" w:hAnsi="Arial" w:cs="Arial"/>
          <w:szCs w:val="18"/>
          <w:lang w:eastAsia="cs-CZ"/>
        </w:rPr>
        <w:t>, 040 01 Košice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8600FB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 w:rsidRPr="008600FB">
        <w:rPr>
          <w:rFonts w:ascii="Arial" w:eastAsia="Times New Roman" w:hAnsi="Arial" w:cs="Arial"/>
          <w:b/>
          <w:bCs/>
        </w:rPr>
        <w:t>Obsah ponuky:</w:t>
      </w:r>
    </w:p>
    <w:p w:rsidR="00A370C7" w:rsidRPr="004F16A9" w:rsidRDefault="00A370C7" w:rsidP="00A370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ocenený zoznam položiek spracovaný podľa prílohy </w:t>
      </w:r>
      <w:r w:rsidR="00DA5FF2">
        <w:rPr>
          <w:rFonts w:ascii="Arial" w:eastAsia="Times New Roman" w:hAnsi="Arial" w:cs="Arial"/>
          <w:lang w:eastAsia="cs-CZ"/>
        </w:rPr>
        <w:t xml:space="preserve">č. 1 </w:t>
      </w:r>
      <w:r w:rsidRPr="004F16A9">
        <w:rPr>
          <w:rFonts w:ascii="Arial" w:eastAsia="Times New Roman" w:hAnsi="Arial" w:cs="Arial"/>
          <w:lang w:eastAsia="cs-CZ"/>
        </w:rPr>
        <w:t>k tejto výzve s uvedením jednotkových cien v € bez DPH aj s DPH,  ako aj celkovej ceny za celú zákazku v € aj bez DPH ako aj s DPH,</w:t>
      </w:r>
    </w:p>
    <w:p w:rsidR="00A370C7" w:rsidRPr="004F16A9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42A1A" w:rsidRPr="004F16A9" w:rsidRDefault="00142A1A" w:rsidP="00142A1A">
      <w:pPr>
        <w:pStyle w:val="Odsekzoznamu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35247C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DD6FE9">
        <w:rPr>
          <w:rFonts w:ascii="Arial" w:eastAsia="Times New Roman" w:hAnsi="Arial" w:cs="Arial"/>
          <w:bCs/>
        </w:rPr>
        <w:t xml:space="preserve"> </w:t>
      </w:r>
      <w:r w:rsidR="00284AAF">
        <w:rPr>
          <w:rFonts w:ascii="Arial" w:eastAsia="Times New Roman" w:hAnsi="Arial" w:cs="Arial"/>
          <w:bCs/>
        </w:rPr>
        <w:t>14</w:t>
      </w:r>
      <w:r w:rsidR="00614D04">
        <w:rPr>
          <w:rFonts w:ascii="Arial" w:eastAsia="Times New Roman" w:hAnsi="Arial" w:cs="Arial"/>
          <w:bCs/>
        </w:rPr>
        <w:t>.10</w:t>
      </w:r>
      <w:r w:rsidR="00142A1A" w:rsidRPr="00FB1E07">
        <w:rPr>
          <w:rFonts w:ascii="Arial" w:eastAsia="Times New Roman" w:hAnsi="Arial" w:cs="Arial"/>
          <w:bCs/>
        </w:rPr>
        <w:t>.2013</w:t>
      </w:r>
    </w:p>
    <w:p w:rsidR="0035247C" w:rsidRPr="0035247C" w:rsidRDefault="0035247C" w:rsidP="0035247C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sz w:val="18"/>
          <w:szCs w:val="18"/>
        </w:rPr>
      </w:pPr>
      <w:r w:rsidRPr="0035247C">
        <w:rPr>
          <w:rFonts w:ascii="Arial" w:eastAsia="Times New Roman" w:hAnsi="Arial" w:cs="Arial"/>
          <w:b/>
        </w:rPr>
        <w:t>Lehota dodania tovarov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DD6FE9">
        <w:rPr>
          <w:rFonts w:ascii="Arial" w:eastAsia="Times New Roman" w:hAnsi="Arial" w:cs="Arial"/>
          <w:bCs/>
        </w:rPr>
        <w:t>do 10 (slovom „desiatich“) pracovných dní od vystavenia objednávky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lastRenderedPageBreak/>
        <w:t>Kritérium na hodnotenie ponúk:</w:t>
      </w:r>
    </w:p>
    <w:p w:rsidR="00A370C7" w:rsidRPr="00001E36" w:rsidRDefault="00A370C7" w:rsidP="00001E36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</w:rPr>
      </w:pPr>
      <w:r w:rsidRPr="00001E36">
        <w:rPr>
          <w:rFonts w:ascii="Arial" w:eastAsia="Times New Roman" w:hAnsi="Arial" w:cs="Arial"/>
        </w:rPr>
        <w:t>Jediným kritériom na hodnotenie predložených ponúk bude: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35247C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4F16A9">
        <w:rPr>
          <w:rFonts w:ascii="Arial" w:eastAsia="Times New Roman" w:hAnsi="Arial" w:cs="Arial"/>
          <w:b/>
          <w:bCs/>
        </w:rPr>
        <w:t>najnižšia cena za predmet zákazky</w:t>
      </w:r>
      <w:r w:rsidR="0035247C">
        <w:rPr>
          <w:rFonts w:ascii="Arial" w:eastAsia="Times New Roman" w:hAnsi="Arial" w:cs="Arial"/>
          <w:b/>
          <w:bCs/>
        </w:rPr>
        <w:t xml:space="preserve"> </w:t>
      </w:r>
    </w:p>
    <w:p w:rsidR="0035247C" w:rsidRDefault="0035247C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:rsidR="00001E36" w:rsidRPr="004F16A9" w:rsidRDefault="00001E36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/>
          <w:bCs/>
        </w:rPr>
        <w:t xml:space="preserve">     </w:t>
      </w:r>
      <w:r w:rsidRPr="004F16A9">
        <w:rPr>
          <w:rFonts w:ascii="Arial" w:eastAsia="Times New Roman" w:hAnsi="Arial" w:cs="Arial"/>
          <w:bCs/>
        </w:rPr>
        <w:t>Na základe kritérií na hodnotenie ponúk bude identifikovaný úspešný uchádzač, ktorému verejný obstarávateľ zašle objednávku v zmysle predloženej cenovej ponuky</w:t>
      </w:r>
      <w:r w:rsidR="00001E36">
        <w:rPr>
          <w:rFonts w:ascii="Arial" w:eastAsia="Times New Roman" w:hAnsi="Arial" w:cs="Arial"/>
          <w:bCs/>
          <w:sz w:val="18"/>
          <w:szCs w:val="18"/>
        </w:rPr>
        <w:t xml:space="preserve">. </w:t>
      </w:r>
      <w:r w:rsidRPr="004F16A9">
        <w:rPr>
          <w:rFonts w:ascii="Arial" w:eastAsia="Times New Roman" w:hAnsi="Arial" w:cs="Arial"/>
          <w:bCs/>
        </w:rPr>
        <w:t>Neúspešný</w:t>
      </w:r>
      <w:r>
        <w:rPr>
          <w:rFonts w:ascii="Arial" w:eastAsia="Times New Roman" w:hAnsi="Arial" w:cs="Arial"/>
          <w:bCs/>
        </w:rPr>
        <w:t>m</w:t>
      </w:r>
      <w:r w:rsidRPr="004F16A9">
        <w:rPr>
          <w:rFonts w:ascii="Arial" w:eastAsia="Times New Roman" w:hAnsi="Arial" w:cs="Arial"/>
          <w:bCs/>
        </w:rPr>
        <w:t xml:space="preserve"> uchádzač</w:t>
      </w:r>
      <w:r>
        <w:rPr>
          <w:rFonts w:ascii="Arial" w:eastAsia="Times New Roman" w:hAnsi="Arial" w:cs="Arial"/>
          <w:bCs/>
        </w:rPr>
        <w:t>om</w:t>
      </w:r>
      <w:r w:rsidRPr="004F16A9">
        <w:rPr>
          <w:rFonts w:ascii="Arial" w:eastAsia="Times New Roman" w:hAnsi="Arial" w:cs="Arial"/>
          <w:bCs/>
        </w:rPr>
        <w:t xml:space="preserve"> verejný obstarávateľ </w:t>
      </w:r>
      <w:r>
        <w:rPr>
          <w:rFonts w:ascii="Arial" w:eastAsia="Times New Roman" w:hAnsi="Arial" w:cs="Arial"/>
          <w:bCs/>
        </w:rPr>
        <w:t xml:space="preserve">zašle </w:t>
      </w:r>
      <w:r w:rsidRPr="004F16A9">
        <w:rPr>
          <w:rFonts w:ascii="Arial" w:eastAsia="Times New Roman" w:hAnsi="Arial" w:cs="Arial"/>
          <w:bCs/>
        </w:rPr>
        <w:t>inform</w:t>
      </w:r>
      <w:r>
        <w:rPr>
          <w:rFonts w:ascii="Arial" w:eastAsia="Times New Roman" w:hAnsi="Arial" w:cs="Arial"/>
          <w:bCs/>
        </w:rPr>
        <w:t xml:space="preserve">áciu </w:t>
      </w:r>
      <w:r w:rsidRPr="004F16A9">
        <w:rPr>
          <w:rFonts w:ascii="Arial" w:eastAsia="Times New Roman" w:hAnsi="Arial" w:cs="Arial"/>
          <w:bCs/>
        </w:rPr>
        <w:t>o</w:t>
      </w:r>
      <w:r>
        <w:rPr>
          <w:rFonts w:ascii="Arial" w:eastAsia="Times New Roman" w:hAnsi="Arial" w:cs="Arial"/>
          <w:bCs/>
        </w:rPr>
        <w:t xml:space="preserve"> výsledku </w:t>
      </w:r>
      <w:r w:rsidRPr="004F16A9">
        <w:rPr>
          <w:rFonts w:ascii="Arial" w:eastAsia="Times New Roman" w:hAnsi="Arial" w:cs="Arial"/>
          <w:bCs/>
        </w:rPr>
        <w:t>vyhodnoten</w:t>
      </w:r>
      <w:r>
        <w:rPr>
          <w:rFonts w:ascii="Arial" w:eastAsia="Times New Roman" w:hAnsi="Arial" w:cs="Arial"/>
          <w:bCs/>
        </w:rPr>
        <w:t>ia</w:t>
      </w:r>
      <w:r w:rsidRPr="004F16A9">
        <w:rPr>
          <w:rFonts w:ascii="Arial" w:eastAsia="Times New Roman" w:hAnsi="Arial" w:cs="Arial"/>
          <w:bCs/>
        </w:rPr>
        <w:t xml:space="preserve"> ponúk.</w:t>
      </w:r>
      <w:r w:rsidRPr="0035247C">
        <w:rPr>
          <w:rFonts w:ascii="Arial" w:eastAsia="Times New Roman" w:hAnsi="Arial" w:cs="Arial"/>
        </w:rPr>
        <w:t xml:space="preserve"> </w:t>
      </w:r>
      <w:r w:rsidRPr="004F16A9">
        <w:rPr>
          <w:rFonts w:ascii="Arial" w:eastAsia="Times New Roman" w:hAnsi="Arial" w:cs="Arial"/>
        </w:rPr>
        <w:t xml:space="preserve">Uchádzačom, ktorí predložia svoje 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>žiadny nárok na úhradu nákladov, ktoré mu vznikli s prípravou a doručením ponuky ( resp.: obhliadkou ).</w:t>
      </w:r>
    </w:p>
    <w:p w:rsidR="00A370C7" w:rsidRPr="004F16A9" w:rsidRDefault="00A370C7" w:rsidP="00A370C7">
      <w:pPr>
        <w:spacing w:after="0" w:line="240" w:lineRule="auto"/>
        <w:ind w:right="-108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Pr="004F16A9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4F1ABB" w:rsidRPr="004F1ABB" w:rsidRDefault="00A370C7" w:rsidP="004F1ABB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Arial" w:eastAsia="Times New Roman" w:hAnsi="Arial" w:cs="Arial"/>
        </w:rPr>
      </w:pPr>
      <w:r w:rsidRPr="004F1ABB">
        <w:rPr>
          <w:rFonts w:ascii="Arial" w:eastAsia="Times New Roman" w:hAnsi="Arial" w:cs="Arial"/>
          <w:lang w:eastAsia="cs-CZ"/>
        </w:rPr>
        <w:tab/>
      </w:r>
      <w:r w:rsidR="00B07826" w:rsidRPr="004F1ABB">
        <w:rPr>
          <w:rFonts w:ascii="Arial" w:eastAsia="Times New Roman" w:hAnsi="Arial" w:cs="Arial"/>
          <w:b/>
          <w:bCs/>
        </w:rPr>
        <w:t xml:space="preserve">Pracovník určený pre styk so záujemcami: </w:t>
      </w:r>
      <w:r w:rsidR="00DD6FE9" w:rsidRPr="004F1ABB">
        <w:rPr>
          <w:rFonts w:ascii="Arial" w:eastAsia="Times New Roman" w:hAnsi="Arial" w:cs="Arial"/>
          <w:szCs w:val="18"/>
        </w:rPr>
        <w:t>RNDr. JUDr. Pavol Sokol</w:t>
      </w:r>
      <w:r w:rsidR="004F1ABB" w:rsidRPr="004F1ABB">
        <w:rPr>
          <w:rFonts w:ascii="Arial" w:eastAsia="Times New Roman" w:hAnsi="Arial" w:cs="Arial"/>
          <w:szCs w:val="18"/>
        </w:rPr>
        <w:t xml:space="preserve">, </w:t>
      </w:r>
      <w:r w:rsidR="004F1ABB" w:rsidRPr="004F1ABB">
        <w:rPr>
          <w:rFonts w:ascii="Arial" w:eastAsia="Times New Roman" w:hAnsi="Arial" w:cs="Arial"/>
        </w:rPr>
        <w:t>tel. č.: 055 234 2425, e-mail: pavol.sokol@upjs.sk</w:t>
      </w:r>
      <w:r w:rsidR="004F1ABB" w:rsidRPr="004F1ABB">
        <w:rPr>
          <w:rFonts w:ascii="Arial" w:eastAsia="Times New Roman" w:hAnsi="Arial" w:cs="Arial"/>
          <w:lang w:eastAsia="cs-CZ"/>
        </w:rPr>
        <w:t xml:space="preserve"> </w:t>
      </w:r>
    </w:p>
    <w:p w:rsidR="0035247C" w:rsidRPr="004F1ABB" w:rsidRDefault="004F1ABB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5247C" w:rsidRPr="0035247C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Termín zadávania zákazky: </w:t>
      </w:r>
      <w:r w:rsidR="00DD3126">
        <w:rPr>
          <w:rFonts w:ascii="Arial" w:eastAsia="Times New Roman" w:hAnsi="Arial" w:cs="Arial"/>
          <w:szCs w:val="18"/>
        </w:rPr>
        <w:t>07.10</w:t>
      </w:r>
      <w:r w:rsidR="00001E36" w:rsidRPr="00001E36">
        <w:rPr>
          <w:rFonts w:ascii="Arial" w:eastAsia="Times New Roman" w:hAnsi="Arial" w:cs="Arial"/>
          <w:szCs w:val="18"/>
        </w:rPr>
        <w:t>.2013</w:t>
      </w:r>
    </w:p>
    <w:p w:rsidR="00A370C7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A463F" w:rsidRDefault="001A463F"/>
    <w:p w:rsidR="00001E36" w:rsidRDefault="00001E36">
      <w:r>
        <w:br w:type="page"/>
      </w:r>
    </w:p>
    <w:p w:rsidR="00001E36" w:rsidRDefault="00001E36">
      <w:pPr>
        <w:rPr>
          <w:b/>
          <w:sz w:val="28"/>
        </w:rPr>
      </w:pPr>
      <w:r w:rsidRPr="00001E36">
        <w:rPr>
          <w:b/>
          <w:sz w:val="28"/>
        </w:rPr>
        <w:lastRenderedPageBreak/>
        <w:t>Príloha č. 1</w:t>
      </w:r>
      <w:r w:rsidR="007D1D7B">
        <w:rPr>
          <w:b/>
          <w:sz w:val="28"/>
        </w:rPr>
        <w:t xml:space="preserve"> (Zoznam položiek)</w:t>
      </w:r>
      <w:r w:rsidRPr="00001E36">
        <w:rPr>
          <w:b/>
          <w:sz w:val="28"/>
        </w:rPr>
        <w:t>:</w:t>
      </w:r>
    </w:p>
    <w:p w:rsidR="00001E36" w:rsidRDefault="00001E36">
      <w:pPr>
        <w:rPr>
          <w:b/>
          <w:sz w:val="24"/>
        </w:rPr>
      </w:pPr>
      <w:r>
        <w:rPr>
          <w:b/>
          <w:sz w:val="24"/>
        </w:rPr>
        <w:t>Predmetom dodávky „</w:t>
      </w:r>
      <w:r w:rsidR="00C90A79" w:rsidRPr="00C90A79">
        <w:rPr>
          <w:b/>
          <w:sz w:val="24"/>
        </w:rPr>
        <w:t>Rekonštrukcia dátovej siete Oddelenia didaktiky fyziky UFV  PF</w:t>
      </w:r>
      <w:r>
        <w:rPr>
          <w:b/>
          <w:sz w:val="24"/>
        </w:rPr>
        <w:t>“ je</w:t>
      </w:r>
      <w:r w:rsidRPr="00001E36">
        <w:rPr>
          <w:b/>
          <w:sz w:val="24"/>
        </w:rPr>
        <w:t>:</w:t>
      </w: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820"/>
        <w:gridCol w:w="560"/>
        <w:gridCol w:w="1020"/>
        <w:gridCol w:w="1043"/>
        <w:gridCol w:w="860"/>
      </w:tblGrid>
      <w:tr w:rsidR="00B035C4" w:rsidRPr="00B035C4" w:rsidTr="00B035C4">
        <w:trPr>
          <w:trHeight w:val="375"/>
        </w:trPr>
        <w:tc>
          <w:tcPr>
            <w:tcW w:w="440" w:type="dxa"/>
            <w:tcBorders>
              <w:top w:val="single" w:sz="8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Arial" w:eastAsia="Times New Roman" w:hAnsi="Arial" w:cs="Arial"/>
                <w:b/>
                <w:bCs/>
              </w:rPr>
              <w:t>►</w:t>
            </w:r>
          </w:p>
        </w:tc>
        <w:tc>
          <w:tcPr>
            <w:tcW w:w="48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Kábel Cat.6/6a</w:t>
            </w:r>
          </w:p>
        </w:tc>
        <w:tc>
          <w:tcPr>
            <w:tcW w:w="5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</w:rPr>
              <w:t>Description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</w:rPr>
              <w:t>m.j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Cena za jednotku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Množstvo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Celková cena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Inštalačný kábel (</w:t>
            </w: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Instalation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cable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1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Tienené (</w:t>
            </w: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Shielded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 xml:space="preserve">Kábel </w:t>
            </w:r>
            <w:proofErr w:type="spellStart"/>
            <w:r w:rsidRPr="00B035C4">
              <w:rPr>
                <w:rFonts w:ascii="Calibri" w:eastAsia="Times New Roman" w:hAnsi="Calibri" w:cs="Calibri"/>
              </w:rPr>
              <w:t>Category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 xml:space="preserve"> 6a FTP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Zásuvky (</w:t>
            </w: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Outlets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 xml:space="preserve">PC  zásuvka  2xRJ 45  tienená </w:t>
            </w:r>
            <w:proofErr w:type="spellStart"/>
            <w:r w:rsidRPr="00B035C4">
              <w:rPr>
                <w:rFonts w:ascii="Calibri" w:eastAsia="Times New Roman" w:hAnsi="Calibri" w:cs="Calibri"/>
              </w:rPr>
              <w:t>Cat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>. 6</w:t>
            </w:r>
            <w:r w:rsidR="00FC140D">
              <w:rPr>
                <w:rFonts w:ascii="Calibri" w:eastAsia="Times New Roman" w:hAnsi="Calibri" w:cs="Calibri"/>
              </w:rPr>
              <w:t xml:space="preserve"> (na omietku)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Krabička pod zásuvku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Patch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panely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proofErr w:type="spellStart"/>
            <w:r w:rsidRPr="00B035C4">
              <w:rPr>
                <w:rFonts w:ascii="Calibri" w:eastAsia="Times New Roman" w:hAnsi="Calibri" w:cs="Calibri"/>
              </w:rPr>
              <w:t>Patch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 xml:space="preserve"> panel </w:t>
            </w:r>
            <w:proofErr w:type="spellStart"/>
            <w:r w:rsidRPr="00B035C4">
              <w:rPr>
                <w:rFonts w:ascii="Calibri" w:eastAsia="Times New Roman" w:hAnsi="Calibri" w:cs="Calibri"/>
              </w:rPr>
              <w:t>cat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 xml:space="preserve"> 6 - 24 </w:t>
            </w:r>
            <w:proofErr w:type="spellStart"/>
            <w:r w:rsidRPr="00B035C4">
              <w:rPr>
                <w:rFonts w:ascii="Calibri" w:eastAsia="Times New Roman" w:hAnsi="Calibri" w:cs="Calibri"/>
              </w:rPr>
              <w:t>portový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proofErr w:type="spellStart"/>
            <w:r w:rsidRPr="00B035C4">
              <w:rPr>
                <w:rFonts w:ascii="Calibri" w:eastAsia="Times New Roman" w:hAnsi="Calibri" w:cs="Calibri"/>
              </w:rPr>
              <w:t>Patch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 xml:space="preserve"> panel </w:t>
            </w:r>
            <w:proofErr w:type="spellStart"/>
            <w:r w:rsidRPr="00B035C4">
              <w:rPr>
                <w:rFonts w:ascii="Calibri" w:eastAsia="Times New Roman" w:hAnsi="Calibri" w:cs="Calibri"/>
              </w:rPr>
              <w:t>cat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 xml:space="preserve"> 5 - 16 </w:t>
            </w:r>
            <w:proofErr w:type="spellStart"/>
            <w:r w:rsidRPr="00B035C4">
              <w:rPr>
                <w:rFonts w:ascii="Calibri" w:eastAsia="Times New Roman" w:hAnsi="Calibri" w:cs="Calibri"/>
              </w:rPr>
              <w:t>portový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Tienené </w:t>
            </w: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patch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káble Cat.5e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proofErr w:type="spellStart"/>
            <w:r w:rsidRPr="00B035C4">
              <w:rPr>
                <w:rFonts w:ascii="Calibri" w:eastAsia="Times New Roman" w:hAnsi="Calibri" w:cs="Calibri"/>
              </w:rPr>
              <w:t>Patch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 xml:space="preserve"> kábel S/FTP 2xRJ45 Cat5e 0.5m - 500MHz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proofErr w:type="spellStart"/>
            <w:r w:rsidRPr="00B035C4">
              <w:rPr>
                <w:rFonts w:ascii="Calibri" w:eastAsia="Times New Roman" w:hAnsi="Calibri" w:cs="Calibri"/>
              </w:rPr>
              <w:t>Patch</w:t>
            </w:r>
            <w:proofErr w:type="spellEnd"/>
            <w:r w:rsidRPr="00B035C4">
              <w:rPr>
                <w:rFonts w:ascii="Calibri" w:eastAsia="Times New Roman" w:hAnsi="Calibri" w:cs="Calibri"/>
              </w:rPr>
              <w:t xml:space="preserve"> kábel S/FTP 2xRJ45 Cat5e 1m - 500MHz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SPOLU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035C4" w:rsidRPr="00B035C4" w:rsidTr="00B035C4">
        <w:trPr>
          <w:trHeight w:val="375"/>
        </w:trPr>
        <w:tc>
          <w:tcPr>
            <w:tcW w:w="440" w:type="dxa"/>
            <w:tcBorders>
              <w:top w:val="single" w:sz="8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48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Inštalačný materiál Lišty/Žľaby</w:t>
            </w:r>
          </w:p>
        </w:tc>
        <w:tc>
          <w:tcPr>
            <w:tcW w:w="5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</w:rPr>
              <w:t>m.j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Cena za jednotku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Množstvo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Celková cena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Lišta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Lišta 80 x 40 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Lišta 20 x 20 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327D3F" w:rsidP="00327D3F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Drobný inštalačný materiál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772B78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sada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772B78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SPOLU</w:t>
            </w: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br/>
              <w:t>Inštalačný materiál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75"/>
        </w:trPr>
        <w:tc>
          <w:tcPr>
            <w:tcW w:w="440" w:type="dxa"/>
            <w:tcBorders>
              <w:top w:val="single" w:sz="8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48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Dátový rozvádzač s príslušenstvom</w:t>
            </w:r>
          </w:p>
        </w:tc>
        <w:tc>
          <w:tcPr>
            <w:tcW w:w="5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</w:rPr>
              <w:t>m.j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Cena za jednotku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Množstvo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Celková cena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Dátový rozvádzač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Dátový rozvádzač  19" dvojdielny 15U  s hĺbkou 600mm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Montáž dátového rozvádzača s príslušenstvom a elektrickým prívodom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Príslušenstvo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 xml:space="preserve">19" min 8x </w:t>
            </w:r>
            <w:proofErr w:type="spellStart"/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zásusvkový</w:t>
            </w:r>
            <w:proofErr w:type="spellEnd"/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 xml:space="preserve"> vypínač s min. 2 prívodným </w:t>
            </w: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káblom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SPOLU</w:t>
            </w: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br/>
              <w:t>Dátový rozvádzač s príslušenstvom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035C4" w:rsidRPr="00B035C4" w:rsidTr="00B035C4">
        <w:trPr>
          <w:trHeight w:val="375"/>
        </w:trPr>
        <w:tc>
          <w:tcPr>
            <w:tcW w:w="440" w:type="dxa"/>
            <w:tcBorders>
              <w:top w:val="single" w:sz="8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48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Inštalačné práce</w:t>
            </w:r>
          </w:p>
        </w:tc>
        <w:tc>
          <w:tcPr>
            <w:tcW w:w="5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</w:rPr>
              <w:t>m.j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Cena za jednotku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Množstvo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Celková cena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Tehla (priemer/hrúbka) </w:t>
            </w: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vertikalne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50/200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50/300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20/700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Montáž Plastových líšt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Lišta 80 x 40 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00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Lišta 20 x 20 mm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Káblové trasy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1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Uloženie medených káblov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Uloženie Cat6a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Konektorovanie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atesty - </w:t>
            </w: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metalika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Zakončenie kábla /s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Označenie portov PP/TO/FO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4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Montáž PC zásuvky + inštalačnej krabice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SPOLU</w:t>
            </w: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br/>
            </w:r>
            <w:r w:rsidRPr="00B035C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Inštalačné práce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35C4" w:rsidRPr="00B035C4" w:rsidTr="00B035C4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035C4" w:rsidRPr="00B035C4" w:rsidTr="00B035C4">
        <w:trPr>
          <w:trHeight w:val="375"/>
        </w:trPr>
        <w:tc>
          <w:tcPr>
            <w:tcW w:w="440" w:type="dxa"/>
            <w:tcBorders>
              <w:top w:val="single" w:sz="8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48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Aktívne prvky</w:t>
            </w:r>
          </w:p>
        </w:tc>
        <w:tc>
          <w:tcPr>
            <w:tcW w:w="5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B035C4">
              <w:rPr>
                <w:rFonts w:ascii="Calibri" w:eastAsia="Times New Roman" w:hAnsi="Calibri" w:cs="Calibri"/>
                <w:b/>
                <w:bCs/>
              </w:rPr>
              <w:t>m.j</w:t>
            </w:r>
            <w:proofErr w:type="spellEnd"/>
            <w:r w:rsidRPr="00B035C4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Cena za jednotku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Množstvo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Celková cena</w:t>
            </w:r>
          </w:p>
        </w:tc>
      </w:tr>
      <w:tr w:rsidR="00B035C4" w:rsidRPr="00B035C4" w:rsidTr="00B035C4">
        <w:trPr>
          <w:trHeight w:val="300"/>
        </w:trPr>
        <w:tc>
          <w:tcPr>
            <w:tcW w:w="4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Sieťový prepínač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5C4" w:rsidRPr="00B035C4" w:rsidRDefault="00B035C4" w:rsidP="005A4F5E">
            <w:pPr>
              <w:spacing w:after="0" w:line="240" w:lineRule="auto"/>
              <w:ind w:firstLineChars="100" w:firstLine="220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Sieťový prepínač s</w:t>
            </w:r>
            <w:r w:rsidR="005A4F5E">
              <w:rPr>
                <w:rFonts w:ascii="Calibri" w:eastAsia="Times New Roman" w:hAnsi="Calibri" w:cs="Calibri"/>
              </w:rPr>
              <w:t>o</w:t>
            </w:r>
            <w:r w:rsidRPr="00B035C4">
              <w:rPr>
                <w:rFonts w:ascii="Calibri" w:eastAsia="Times New Roman" w:hAnsi="Calibri" w:cs="Calibri"/>
              </w:rPr>
              <w:t xml:space="preserve"> 48 portami - </w:t>
            </w:r>
            <w:r w:rsidR="00F9247A" w:rsidRPr="00F9247A">
              <w:rPr>
                <w:rFonts w:ascii="Calibri" w:eastAsia="Times New Roman" w:hAnsi="Calibri" w:cs="Calibri"/>
              </w:rPr>
              <w:t>10Base-T, 100Base-TX</w:t>
            </w:r>
            <w:r w:rsidR="00F9247A">
              <w:rPr>
                <w:rFonts w:ascii="Calibri" w:eastAsia="Times New Roman" w:hAnsi="Calibri" w:cs="Calibri"/>
              </w:rPr>
              <w:t xml:space="preserve">  a </w:t>
            </w:r>
            <w:r w:rsidRPr="00B035C4">
              <w:rPr>
                <w:rFonts w:ascii="Calibri" w:eastAsia="Times New Roman" w:hAnsi="Calibri" w:cs="Calibri"/>
              </w:rPr>
              <w:t xml:space="preserve">2 </w:t>
            </w:r>
            <w:proofErr w:type="spellStart"/>
            <w:r w:rsidR="005A4F5E">
              <w:rPr>
                <w:rFonts w:ascii="Calibri" w:eastAsia="Times New Roman" w:hAnsi="Calibri" w:cs="Calibri"/>
              </w:rPr>
              <w:t>dualportami</w:t>
            </w:r>
            <w:proofErr w:type="spellEnd"/>
            <w:r w:rsidR="005A4F5E">
              <w:rPr>
                <w:rFonts w:ascii="Calibri" w:eastAsia="Times New Roman" w:hAnsi="Calibri" w:cs="Calibri"/>
              </w:rPr>
              <w:t xml:space="preserve"> - </w:t>
            </w:r>
            <w:r w:rsidR="005A4F5E" w:rsidRPr="005A4F5E">
              <w:rPr>
                <w:rFonts w:ascii="Calibri" w:eastAsia="Times New Roman" w:hAnsi="Calibri" w:cs="Calibri"/>
              </w:rPr>
              <w:t xml:space="preserve">10Base-T, 100Base-TX, 1000Base-T </w:t>
            </w:r>
            <w:r w:rsidR="005A4F5E">
              <w:rPr>
                <w:rFonts w:ascii="Calibri" w:eastAsia="Times New Roman" w:hAnsi="Calibri" w:cs="Calibri"/>
              </w:rPr>
              <w:t xml:space="preserve">a </w:t>
            </w:r>
            <w:r w:rsidR="00F9247A" w:rsidRPr="00F9247A">
              <w:rPr>
                <w:rFonts w:ascii="Calibri" w:eastAsia="Times New Roman" w:hAnsi="Calibri" w:cs="Calibri"/>
              </w:rPr>
              <w:t>SFP (</w:t>
            </w:r>
            <w:r w:rsidR="008822AC">
              <w:rPr>
                <w:rFonts w:ascii="Calibri" w:eastAsia="Times New Roman" w:hAnsi="Calibri" w:cs="Calibri"/>
              </w:rPr>
              <w:t>neosadené</w:t>
            </w:r>
            <w:r w:rsidR="00F9247A">
              <w:rPr>
                <w:rFonts w:ascii="Calibri" w:eastAsia="Times New Roman" w:hAnsi="Calibri" w:cs="Calibri"/>
              </w:rPr>
              <w:t>)</w:t>
            </w:r>
            <w:r w:rsidR="008822AC">
              <w:rPr>
                <w:rFonts w:ascii="Calibri" w:eastAsia="Times New Roman" w:hAnsi="Calibri" w:cs="Calibri"/>
              </w:rPr>
              <w:t xml:space="preserve">, podpora protokolov </w:t>
            </w:r>
            <w:r w:rsidR="008822AC" w:rsidRPr="008822AC">
              <w:rPr>
                <w:rFonts w:ascii="Calibri" w:eastAsia="Times New Roman" w:hAnsi="Calibri" w:cs="Calibri"/>
              </w:rPr>
              <w:t>RMON 2, RMON 1, SNMP 1, SNMP 3, SNMP 2c, TFTP,</w:t>
            </w:r>
            <w:r w:rsidR="004608AA">
              <w:rPr>
                <w:rFonts w:ascii="Calibri" w:eastAsia="Times New Roman" w:hAnsi="Calibri" w:cs="Calibri"/>
              </w:rPr>
              <w:t>SSHv2,</w:t>
            </w:r>
            <w:r w:rsidR="008822AC">
              <w:rPr>
                <w:rFonts w:ascii="Calibri" w:eastAsia="Times New Roman" w:hAnsi="Calibri" w:cs="Calibri"/>
              </w:rPr>
              <w:t xml:space="preserve"> veľkosť tabuľky adries 8000 vstupov, </w:t>
            </w:r>
            <w:r w:rsidR="004608AA">
              <w:rPr>
                <w:rFonts w:ascii="Calibri" w:eastAsia="Times New Roman" w:hAnsi="Calibri" w:cs="Calibri"/>
              </w:rPr>
              <w:t xml:space="preserve">min. 32 MB </w:t>
            </w:r>
            <w:proofErr w:type="spellStart"/>
            <w:r w:rsidR="004608AA">
              <w:rPr>
                <w:rFonts w:ascii="Calibri" w:eastAsia="Times New Roman" w:hAnsi="Calibri" w:cs="Calibri"/>
              </w:rPr>
              <w:t>flash</w:t>
            </w:r>
            <w:proofErr w:type="spellEnd"/>
            <w:r w:rsidR="004608AA">
              <w:rPr>
                <w:rFonts w:ascii="Calibri" w:eastAsia="Times New Roman" w:hAnsi="Calibri" w:cs="Calibri"/>
              </w:rPr>
              <w:t xml:space="preserve"> a min. 64 MB DRAM</w:t>
            </w:r>
            <w:r w:rsidR="0028337C">
              <w:rPr>
                <w:rFonts w:ascii="Calibri" w:eastAsia="Times New Roman" w:hAnsi="Calibri" w:cs="Calibri"/>
              </w:rPr>
              <w:t xml:space="preserve">, podpora </w:t>
            </w:r>
            <w:proofErr w:type="spellStart"/>
            <w:r w:rsidR="00083551">
              <w:rPr>
                <w:rFonts w:ascii="Calibri" w:eastAsia="Times New Roman" w:hAnsi="Calibri" w:cs="Calibri"/>
              </w:rPr>
              <w:t>multicastu</w:t>
            </w:r>
            <w:proofErr w:type="spellEnd"/>
            <w:r w:rsidR="00083551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="00083551">
              <w:rPr>
                <w:rFonts w:ascii="Calibri" w:eastAsia="Times New Roman" w:hAnsi="Calibri" w:cs="Calibri"/>
              </w:rPr>
              <w:t>QoS</w:t>
            </w:r>
            <w:proofErr w:type="spellEnd"/>
            <w:r w:rsidR="00206D31">
              <w:rPr>
                <w:rFonts w:ascii="Calibri" w:eastAsia="Times New Roman" w:hAnsi="Calibri" w:cs="Calibri"/>
              </w:rPr>
              <w:t>, protokolu CDP, LLDP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B035C4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B035C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035C4" w:rsidRPr="00B035C4" w:rsidTr="00B035C4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SPOLU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035C4" w:rsidRPr="00B035C4" w:rsidRDefault="00B035C4" w:rsidP="00B0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035C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</w:tbl>
    <w:p w:rsidR="001F1B5A" w:rsidRPr="00001E36" w:rsidRDefault="001F1B5A">
      <w:pPr>
        <w:rPr>
          <w:b/>
          <w:sz w:val="24"/>
        </w:rPr>
      </w:pPr>
    </w:p>
    <w:p w:rsidR="007D1D7B" w:rsidRDefault="007D1D7B">
      <w:pPr>
        <w:rPr>
          <w:b/>
          <w:sz w:val="28"/>
        </w:rPr>
      </w:pPr>
    </w:p>
    <w:p w:rsidR="007D1D7B" w:rsidRDefault="007D1D7B">
      <w:pPr>
        <w:rPr>
          <w:b/>
          <w:sz w:val="28"/>
        </w:rPr>
      </w:pPr>
      <w:r>
        <w:rPr>
          <w:b/>
          <w:sz w:val="28"/>
        </w:rPr>
        <w:br w:type="page"/>
      </w:r>
    </w:p>
    <w:p w:rsidR="007D1D7B" w:rsidRDefault="007D1D7B">
      <w:pPr>
        <w:rPr>
          <w:b/>
          <w:sz w:val="28"/>
        </w:rPr>
      </w:pPr>
      <w:r>
        <w:rPr>
          <w:b/>
          <w:sz w:val="28"/>
        </w:rPr>
        <w:lastRenderedPageBreak/>
        <w:t>Príloha č. 2 (Schéma návrhu dátovej siete)</w:t>
      </w:r>
    </w:p>
    <w:p w:rsidR="00001E36" w:rsidRDefault="007D1D7B" w:rsidP="00001E36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5753100" cy="6419850"/>
            <wp:effectExtent l="0" t="0" r="0" b="0"/>
            <wp:docPr id="4" name="Obrázok 4" descr="Y:\_CAI UPJŠ\# Projekty\ODF - sieť\ODF - sieť v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_CAI UPJŠ\# Projekty\ODF - sieť\ODF - sieť v.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E36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259CF"/>
    <w:multiLevelType w:val="hybridMultilevel"/>
    <w:tmpl w:val="30FCB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4B5D26"/>
    <w:multiLevelType w:val="hybridMultilevel"/>
    <w:tmpl w:val="AAF63D78"/>
    <w:lvl w:ilvl="0" w:tplc="919CBAE4">
      <w:start w:val="1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01E36"/>
    <w:rsid w:val="00040940"/>
    <w:rsid w:val="00042A99"/>
    <w:rsid w:val="00065EDF"/>
    <w:rsid w:val="00083551"/>
    <w:rsid w:val="00142A1A"/>
    <w:rsid w:val="001A463F"/>
    <w:rsid w:val="001F1B5A"/>
    <w:rsid w:val="00206D31"/>
    <w:rsid w:val="00220AB5"/>
    <w:rsid w:val="0028337C"/>
    <w:rsid w:val="00284AAF"/>
    <w:rsid w:val="00327D3F"/>
    <w:rsid w:val="0035247C"/>
    <w:rsid w:val="00354094"/>
    <w:rsid w:val="004442B6"/>
    <w:rsid w:val="004608AA"/>
    <w:rsid w:val="004B0AE2"/>
    <w:rsid w:val="004E25F2"/>
    <w:rsid w:val="004F1ABB"/>
    <w:rsid w:val="004F45D0"/>
    <w:rsid w:val="005A4F5E"/>
    <w:rsid w:val="00614D04"/>
    <w:rsid w:val="006903AC"/>
    <w:rsid w:val="00691AD8"/>
    <w:rsid w:val="006D1504"/>
    <w:rsid w:val="006F36F5"/>
    <w:rsid w:val="00733215"/>
    <w:rsid w:val="00772B78"/>
    <w:rsid w:val="007D1D7B"/>
    <w:rsid w:val="008600FB"/>
    <w:rsid w:val="008822AC"/>
    <w:rsid w:val="008C24B9"/>
    <w:rsid w:val="008F600F"/>
    <w:rsid w:val="00934BF7"/>
    <w:rsid w:val="009A1F4A"/>
    <w:rsid w:val="009A2866"/>
    <w:rsid w:val="009A3BB7"/>
    <w:rsid w:val="00A370C7"/>
    <w:rsid w:val="00A676A4"/>
    <w:rsid w:val="00A702A7"/>
    <w:rsid w:val="00A912B3"/>
    <w:rsid w:val="00A93D2D"/>
    <w:rsid w:val="00B035C4"/>
    <w:rsid w:val="00B07826"/>
    <w:rsid w:val="00BC5AE9"/>
    <w:rsid w:val="00C05CC0"/>
    <w:rsid w:val="00C36DB8"/>
    <w:rsid w:val="00C80699"/>
    <w:rsid w:val="00C90A79"/>
    <w:rsid w:val="00D0220D"/>
    <w:rsid w:val="00D212EC"/>
    <w:rsid w:val="00D347FD"/>
    <w:rsid w:val="00D47BE1"/>
    <w:rsid w:val="00DA5FF2"/>
    <w:rsid w:val="00DD3126"/>
    <w:rsid w:val="00DD6FE9"/>
    <w:rsid w:val="00DF2E7D"/>
    <w:rsid w:val="00E2700C"/>
    <w:rsid w:val="00E92E7A"/>
    <w:rsid w:val="00F01464"/>
    <w:rsid w:val="00F20F03"/>
    <w:rsid w:val="00F353FC"/>
    <w:rsid w:val="00F55EEE"/>
    <w:rsid w:val="00F9247A"/>
    <w:rsid w:val="00FB1E07"/>
    <w:rsid w:val="00FC140D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47AE7-A50F-446D-B4BA-FC8E637E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0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E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F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dcterms:created xsi:type="dcterms:W3CDTF">2013-10-07T11:06:00Z</dcterms:created>
  <dcterms:modified xsi:type="dcterms:W3CDTF">2013-10-07T11:06:00Z</dcterms:modified>
</cp:coreProperties>
</file>