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3107DD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Pr="003107DD" w:rsidRDefault="003107DD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DD">
        <w:rPr>
          <w:rFonts w:ascii="Times New Roman" w:hAnsi="Times New Roman" w:cs="Times New Roman"/>
          <w:b/>
          <w:sz w:val="24"/>
          <w:szCs w:val="24"/>
        </w:rPr>
        <w:t>JUSTINIÁNSKE DIGESTA A ICH VPLYV NA VÝVOJ MODERNÉHO PRÁVA</w:t>
      </w:r>
    </w:p>
    <w:p w:rsidR="001B24EA" w:rsidRPr="001B24EA" w:rsidRDefault="001B24EA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500517">
        <w:rPr>
          <w:rFonts w:ascii="Times New Roman" w:hAnsi="Times New Roman" w:cs="Times New Roman"/>
          <w:b/>
          <w:sz w:val="24"/>
          <w:szCs w:val="24"/>
        </w:rPr>
        <w:t>den</w:t>
      </w:r>
      <w:r w:rsidR="00A77CB0">
        <w:rPr>
          <w:rFonts w:ascii="Times New Roman" w:hAnsi="Times New Roman" w:cs="Times New Roman"/>
          <w:b/>
          <w:sz w:val="24"/>
          <w:szCs w:val="24"/>
        </w:rPr>
        <w:t>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D7D2C">
        <w:rPr>
          <w:rFonts w:ascii="Times New Roman" w:hAnsi="Times New Roman" w:cs="Times New Roman"/>
          <w:sz w:val="24"/>
          <w:szCs w:val="24"/>
        </w:rPr>
        <w:t>Justiniánske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Úvod do právnej problematiky. Právny a historický pohľad.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Vnútorná štruktúra a právny systém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. Rozdelenie práva na súkromné a verejné. Spisy o civilnom práve. Spisy o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prétorskom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práve.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Vymedzenie jurisdikcie rímskych magistrátov – konzulov,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prétorov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, kvestorov, miestodržiteľov v provinciách. Jurisdikcia – jej právno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D2C">
        <w:rPr>
          <w:rFonts w:ascii="Times New Roman" w:hAnsi="Times New Roman" w:cs="Times New Roman"/>
          <w:sz w:val="24"/>
          <w:szCs w:val="24"/>
        </w:rPr>
        <w:t>politické vymedzenie, právne postavenie  občanov, rímskych úradov v dejinách právnej vedy.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Úprava právneho inštitútu zasnúbenia v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Digestach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Podstata a predpoklady zasnúbenia, jeho platnosť a súhlas hlavy rodiny.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Inštitút manželstva a jeho vybrané účinky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Právne problémy foriem uzavretia manželstva. Rozvod. Vyživovacia povinnosť.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Manželská vernosť a jej nedodržanie. Juliánov zákon o potrestaní cudzoložstva. Právne postihy kupliarstva a znásilnenia.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Recepcia rímskeho práva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Predmet kúpnej zmluvy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Určenie ceny pri kúpnej zmluve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Civilné delikty. Vývoj obligačnej povinnosti nahradiť škodu z deliktu v rímskom práve (svojpomoc, odveta, pokuta, náhrada škody)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– podstatný prelom na ceste k náhrade škody (štruktúra – obsah)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Základné predpoklady zodpovednosti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</w:p>
    <w:p w:rsidR="001B24EA" w:rsidRPr="001B24EA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Náhrada škody. Skutočná škoda. Liečebné náklady.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Ušlý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zisk. Ujma, ktorá nebola predmetom odškodnenia.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CEF"/>
    <w:multiLevelType w:val="hybridMultilevel"/>
    <w:tmpl w:val="A7726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5E1E"/>
    <w:multiLevelType w:val="hybridMultilevel"/>
    <w:tmpl w:val="1150A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267FE"/>
    <w:multiLevelType w:val="hybridMultilevel"/>
    <w:tmpl w:val="DE84F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3A25"/>
    <w:multiLevelType w:val="hybridMultilevel"/>
    <w:tmpl w:val="FD565782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30CB7"/>
    <w:rsid w:val="001B24EA"/>
    <w:rsid w:val="003107DD"/>
    <w:rsid w:val="003D7D2C"/>
    <w:rsid w:val="00500517"/>
    <w:rsid w:val="00A77CB0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2016-09-13T11:08:00Z</dcterms:created>
  <dcterms:modified xsi:type="dcterms:W3CDTF">2016-09-13T11:08:00Z</dcterms:modified>
</cp:coreProperties>
</file>