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1B24EA" w:rsidP="00413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INFORMAČNÝ LIST  K PREDMETU</w:t>
      </w:r>
    </w:p>
    <w:p w:rsidR="001B24EA" w:rsidRDefault="00E32573" w:rsidP="00413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INŠTITÚTY VECNÉHO PRÁVA</w:t>
      </w:r>
    </w:p>
    <w:p w:rsidR="001B24EA" w:rsidRPr="001B24EA" w:rsidRDefault="001B24EA" w:rsidP="00413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(denná forma štúdia)</w:t>
      </w:r>
    </w:p>
    <w:p w:rsidR="001B24EA" w:rsidRDefault="001B24EA" w:rsidP="0041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41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1D0" w:rsidRPr="001B24EA" w:rsidRDefault="001B24EA" w:rsidP="00413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Podmienky na absolvovanie predmetu</w:t>
      </w:r>
    </w:p>
    <w:p w:rsidR="004138EC" w:rsidRPr="004138EC" w:rsidRDefault="004138EC" w:rsidP="004138EC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>účasť na seminároch - pre pripustenie k skúške je potrebná min. 50%-ná  účasť na seminároch, inak bude študentovi udelené hodnotenie FX</w:t>
      </w:r>
    </w:p>
    <w:p w:rsidR="004138EC" w:rsidRPr="004138EC" w:rsidRDefault="004138EC" w:rsidP="004138EC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8EC">
        <w:rPr>
          <w:rFonts w:ascii="Times New Roman" w:hAnsi="Times New Roman" w:cs="Times New Roman"/>
          <w:sz w:val="24"/>
          <w:szCs w:val="24"/>
        </w:rPr>
        <w:t xml:space="preserve">dve písomky (2x20 bodov), pre absolvovanie je potrebné dosiahnuť nadpolovičný počet bodov, čiže jedenásť </w:t>
      </w:r>
    </w:p>
    <w:p w:rsidR="004138EC" w:rsidRDefault="004138EC" w:rsidP="00413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4138EC" w:rsidRDefault="001B24EA" w:rsidP="00413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8EC">
        <w:rPr>
          <w:rFonts w:ascii="Times New Roman" w:hAnsi="Times New Roman" w:cs="Times New Roman"/>
          <w:b/>
          <w:sz w:val="24"/>
          <w:szCs w:val="24"/>
        </w:rPr>
        <w:t>Skúška</w:t>
      </w:r>
    </w:p>
    <w:p w:rsidR="001B24EA" w:rsidRPr="001B24EA" w:rsidRDefault="001B24EA" w:rsidP="0041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>- Ústna skúška  (2 otázky)</w:t>
      </w:r>
    </w:p>
    <w:p w:rsidR="001B24EA" w:rsidRDefault="001B24EA" w:rsidP="00413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413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Výsledky vzdelávania</w:t>
      </w:r>
    </w:p>
    <w:p w:rsidR="004138EC" w:rsidRDefault="00E32573" w:rsidP="0041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 xml:space="preserve">Predmet oboznamuje študentov so základnými inštitútmi vecného práva a na ich historický vývoj vo svete a u nás od staroveku do roku 1945. Nadväzujúc na povinné predmety sa snaží študenta prvého ročníka oboznámiť s detailnejšou úpravou právnych vzťahov k veciam, aby neskôr pri štúdiu občianskeho práva lepšie pochopil súvislosti.     </w:t>
      </w:r>
    </w:p>
    <w:p w:rsidR="004138EC" w:rsidRPr="001B24EA" w:rsidRDefault="004138EC" w:rsidP="0041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413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Odporúčaná  literatúra</w:t>
      </w:r>
    </w:p>
    <w:p w:rsidR="004138EC" w:rsidRPr="001B24EA" w:rsidRDefault="004138EC" w:rsidP="0041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 xml:space="preserve">Základná študijná literatúra: </w:t>
      </w:r>
    </w:p>
    <w:p w:rsidR="004138EC" w:rsidRDefault="00E32573" w:rsidP="0041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Fico, M.: Vývoj inštitútov vecných práv, Košice, 2013</w:t>
      </w:r>
    </w:p>
    <w:p w:rsidR="004138EC" w:rsidRDefault="004138EC" w:rsidP="00413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AB75ED" w:rsidRDefault="001B24EA" w:rsidP="00413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D">
        <w:rPr>
          <w:rFonts w:ascii="Times New Roman" w:hAnsi="Times New Roman" w:cs="Times New Roman"/>
          <w:b/>
          <w:sz w:val="24"/>
          <w:szCs w:val="24"/>
        </w:rPr>
        <w:t>Stručná osnova predmetu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2573">
        <w:rPr>
          <w:rFonts w:ascii="Times New Roman" w:hAnsi="Times New Roman" w:cs="Times New Roman"/>
          <w:sz w:val="24"/>
          <w:szCs w:val="24"/>
        </w:rPr>
        <w:t>Úvod do problematiky vecného práva – pojem „vec“, druhy vecí, prírastok, plody, úžitky, držba, vlastníctvo, spôsoby nadobudnutia vlastníctva, vecné práva k cudzej veci.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Staroveké vecné právo: pojmy „vec“ a „vlastníctvo“ v Mezopotámií, Egypte a v Grécku.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Stredoveké vecné právo: šľachtická držba a vlastníctvo v západnej Európe (Franská ríša, Francúzsko, Nemecko, Anglicko), lénne vzťahy.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Stredoveké vecné právo: šľachtická držba a vlastníctvo v strednej a východnej Európe (Byzantská ríša, Rusko, Bulharsko, Poľsko, Čechy, Uhorsko).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Vec, vlastníctvo a držba v mestskom a vrchnostenskom práve.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 xml:space="preserve">Novoveké vecné právo: Všeobecné pruské krajinské právo (pojem vlastníctvo, výhradné a míľové právo, </w:t>
      </w:r>
      <w:proofErr w:type="spellStart"/>
      <w:r w:rsidRPr="00E32573">
        <w:rPr>
          <w:rFonts w:ascii="Times New Roman" w:hAnsi="Times New Roman" w:cs="Times New Roman"/>
          <w:sz w:val="24"/>
          <w:szCs w:val="24"/>
        </w:rPr>
        <w:t>fideikomis</w:t>
      </w:r>
      <w:proofErr w:type="spellEnd"/>
      <w:r w:rsidRPr="00E32573">
        <w:rPr>
          <w:rFonts w:ascii="Times New Roman" w:hAnsi="Times New Roman" w:cs="Times New Roman"/>
          <w:sz w:val="24"/>
          <w:szCs w:val="24"/>
        </w:rPr>
        <w:t>).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 xml:space="preserve">Novoveké vecné právo: reformy v Anglicku a Francúzsku (osobné a vecné vlastníctvo, pozemkové vlastníctvo, </w:t>
      </w:r>
      <w:proofErr w:type="spellStart"/>
      <w:r w:rsidRPr="00E32573">
        <w:rPr>
          <w:rFonts w:ascii="Times New Roman" w:hAnsi="Times New Roman" w:cs="Times New Roman"/>
          <w:sz w:val="24"/>
          <w:szCs w:val="24"/>
        </w:rPr>
        <w:t>fideikomis</w:t>
      </w:r>
      <w:proofErr w:type="spellEnd"/>
      <w:r w:rsidRPr="00E32573">
        <w:rPr>
          <w:rFonts w:ascii="Times New Roman" w:hAnsi="Times New Roman" w:cs="Times New Roman"/>
          <w:sz w:val="24"/>
          <w:szCs w:val="24"/>
        </w:rPr>
        <w:t xml:space="preserve">, trust). 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573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E32573">
        <w:rPr>
          <w:rFonts w:ascii="Times New Roman" w:hAnsi="Times New Roman" w:cs="Times New Roman"/>
          <w:sz w:val="24"/>
          <w:szCs w:val="24"/>
        </w:rPr>
        <w:t xml:space="preserve"> civile – systematika II. časti (o veciach) a III. časti (o spôsoboch nadobudnutia vlastníctva).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Pruské pozemkové reformy v 19. storočí – zmeny a doplnenia Všeobecného krajinského práva.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ABGB – jeho druhá a tretia časť, pozemkové knihy a ich náležitosti.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lastRenderedPageBreak/>
        <w:t>BGB – III. hlava (veci, pozemky, vlastníctvo)</w:t>
      </w:r>
    </w:p>
    <w:p w:rsidR="001B24EA" w:rsidRPr="004138EC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 xml:space="preserve">BGB - II. hlava (služobnosti, </w:t>
      </w:r>
      <w:proofErr w:type="spellStart"/>
      <w:r w:rsidRPr="00E32573">
        <w:rPr>
          <w:rFonts w:ascii="Times New Roman" w:hAnsi="Times New Roman" w:cs="Times New Roman"/>
          <w:sz w:val="24"/>
          <w:szCs w:val="24"/>
        </w:rPr>
        <w:t>usufructus</w:t>
      </w:r>
      <w:proofErr w:type="spellEnd"/>
      <w:r w:rsidRPr="00E32573">
        <w:rPr>
          <w:rFonts w:ascii="Times New Roman" w:hAnsi="Times New Roman" w:cs="Times New Roman"/>
          <w:sz w:val="24"/>
          <w:szCs w:val="24"/>
        </w:rPr>
        <w:t xml:space="preserve">, spôsoby nadobúdania vlastníctva).    </w:t>
      </w:r>
    </w:p>
    <w:sectPr w:rsidR="001B24EA" w:rsidRPr="00413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43B02336"/>
    <w:lvl w:ilvl="0" w:tplc="4E14B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03137"/>
    <w:multiLevelType w:val="hybridMultilevel"/>
    <w:tmpl w:val="7C402D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D66F3"/>
    <w:multiLevelType w:val="hybridMultilevel"/>
    <w:tmpl w:val="18A4C7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67A9F"/>
    <w:multiLevelType w:val="hybridMultilevel"/>
    <w:tmpl w:val="849005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662D5"/>
    <w:multiLevelType w:val="hybridMultilevel"/>
    <w:tmpl w:val="71704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2B6028"/>
    <w:rsid w:val="004138EC"/>
    <w:rsid w:val="00AB75ED"/>
    <w:rsid w:val="00CD59E3"/>
    <w:rsid w:val="00DB41D0"/>
    <w:rsid w:val="00E3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2016-09-14T14:59:00Z</dcterms:created>
  <dcterms:modified xsi:type="dcterms:W3CDTF">2016-09-14T14:59:00Z</dcterms:modified>
</cp:coreProperties>
</file>