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76B" w:rsidRPr="00F2076B" w:rsidRDefault="009A01E4" w:rsidP="009A01E4">
      <w:pPr>
        <w:pStyle w:val="Obyajntext"/>
        <w:spacing w:line="36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F2076B">
        <w:rPr>
          <w:rFonts w:ascii="Times New Roman" w:eastAsia="MS Mincho" w:hAnsi="Times New Roman"/>
          <w:b/>
          <w:sz w:val="28"/>
          <w:szCs w:val="28"/>
        </w:rPr>
        <w:t xml:space="preserve">Skúšobné otázky </w:t>
      </w:r>
    </w:p>
    <w:p w:rsidR="009A01E4" w:rsidRPr="00F2076B" w:rsidRDefault="00F2076B" w:rsidP="009A01E4">
      <w:pPr>
        <w:pStyle w:val="Obyajntext"/>
        <w:spacing w:line="36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F2076B">
        <w:rPr>
          <w:rFonts w:ascii="Times New Roman" w:eastAsia="MS Mincho" w:hAnsi="Times New Roman"/>
          <w:b/>
          <w:sz w:val="28"/>
          <w:szCs w:val="28"/>
        </w:rPr>
        <w:t>Rímske právo</w:t>
      </w:r>
      <w:r w:rsidR="009A01E4" w:rsidRPr="00F2076B">
        <w:rPr>
          <w:rFonts w:ascii="Times New Roman" w:eastAsia="MS Mincho" w:hAnsi="Times New Roman"/>
          <w:b/>
          <w:sz w:val="28"/>
          <w:szCs w:val="28"/>
        </w:rPr>
        <w:t xml:space="preserve"> I.</w:t>
      </w:r>
    </w:p>
    <w:p w:rsidR="009A01E4" w:rsidRPr="00F2076B" w:rsidRDefault="00332E2B" w:rsidP="009A01E4">
      <w:pPr>
        <w:pStyle w:val="Obyajntext"/>
        <w:spacing w:line="360" w:lineRule="auto"/>
        <w:jc w:val="center"/>
        <w:rPr>
          <w:rFonts w:ascii="Times New Roman" w:eastAsia="MS Mincho" w:hAnsi="Times New Roman"/>
          <w:b/>
          <w:bCs/>
          <w:sz w:val="28"/>
          <w:szCs w:val="28"/>
        </w:rPr>
      </w:pPr>
      <w:r w:rsidRPr="00F2076B">
        <w:rPr>
          <w:rFonts w:ascii="Times New Roman" w:eastAsia="MS Mincho" w:hAnsi="Times New Roman"/>
          <w:b/>
          <w:sz w:val="28"/>
          <w:szCs w:val="28"/>
        </w:rPr>
        <w:t>akad. rok 201</w:t>
      </w:r>
      <w:r w:rsidR="00DF2CFC">
        <w:rPr>
          <w:rFonts w:ascii="Times New Roman" w:eastAsia="MS Mincho" w:hAnsi="Times New Roman"/>
          <w:b/>
          <w:sz w:val="28"/>
          <w:szCs w:val="28"/>
        </w:rPr>
        <w:t>8</w:t>
      </w:r>
      <w:r w:rsidR="006F6B1C" w:rsidRPr="00F2076B">
        <w:rPr>
          <w:rFonts w:ascii="Times New Roman" w:eastAsia="MS Mincho" w:hAnsi="Times New Roman"/>
          <w:b/>
          <w:sz w:val="28"/>
          <w:szCs w:val="28"/>
        </w:rPr>
        <w:t>/201</w:t>
      </w:r>
      <w:r w:rsidR="00DF2CFC">
        <w:rPr>
          <w:rFonts w:ascii="Times New Roman" w:eastAsia="MS Mincho" w:hAnsi="Times New Roman"/>
          <w:b/>
          <w:sz w:val="28"/>
          <w:szCs w:val="28"/>
        </w:rPr>
        <w:t>9</w:t>
      </w:r>
      <w:bookmarkStart w:id="0" w:name="_GoBack"/>
      <w:bookmarkEnd w:id="0"/>
    </w:p>
    <w:p w:rsidR="009A01E4" w:rsidRPr="00F2076B" w:rsidRDefault="009A01E4" w:rsidP="009A01E4">
      <w:pPr>
        <w:pStyle w:val="Obyajntext"/>
        <w:spacing w:line="360" w:lineRule="auto"/>
        <w:rPr>
          <w:rFonts w:ascii="Times New Roman" w:eastAsia="MS Mincho" w:hAnsi="Times New Roman"/>
          <w:sz w:val="24"/>
        </w:rPr>
      </w:pPr>
    </w:p>
    <w:p w:rsidR="009A01E4" w:rsidRPr="00F2076B" w:rsidRDefault="006F6B1C" w:rsidP="00F2076B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1. Predmet, periodizácia,</w:t>
      </w:r>
      <w:r w:rsidR="009A01E4" w:rsidRPr="00F2076B">
        <w:rPr>
          <w:rFonts w:ascii="Times New Roman" w:eastAsia="MS Mincho" w:hAnsi="Times New Roman"/>
          <w:sz w:val="24"/>
        </w:rPr>
        <w:t xml:space="preserve"> význam  rímskeho práva.</w:t>
      </w:r>
    </w:p>
    <w:p w:rsidR="009A01E4" w:rsidRPr="00F2076B" w:rsidRDefault="009A01E4" w:rsidP="00F2076B">
      <w:pPr>
        <w:pStyle w:val="Obyajntext"/>
        <w:spacing w:line="276" w:lineRule="auto"/>
        <w:ind w:left="360" w:hanging="36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2. Rímsky právny p</w:t>
      </w:r>
      <w:r w:rsidR="00F2076B">
        <w:rPr>
          <w:rFonts w:ascii="Times New Roman" w:eastAsia="MS Mincho" w:hAnsi="Times New Roman"/>
          <w:sz w:val="24"/>
        </w:rPr>
        <w:t>oriadok – všeobecný pohľad.</w:t>
      </w:r>
    </w:p>
    <w:p w:rsidR="009A01E4" w:rsidRPr="00F2076B" w:rsidRDefault="009A01E4" w:rsidP="00F2076B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3. Rímske právo verejné.</w:t>
      </w:r>
    </w:p>
    <w:p w:rsidR="009A01E4" w:rsidRPr="00F2076B" w:rsidRDefault="009A01E4" w:rsidP="00F2076B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4. Rímske právo súkromné.</w:t>
      </w:r>
    </w:p>
    <w:p w:rsidR="009A01E4" w:rsidRPr="00F2076B" w:rsidRDefault="009A01E4" w:rsidP="00F2076B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5. Ius civile.</w:t>
      </w:r>
    </w:p>
    <w:p w:rsidR="009A01E4" w:rsidRPr="00F2076B" w:rsidRDefault="009A01E4" w:rsidP="00F2076B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6. Ius honorarium.</w:t>
      </w:r>
    </w:p>
    <w:p w:rsidR="009A01E4" w:rsidRPr="00F2076B" w:rsidRDefault="009A01E4" w:rsidP="00F2076B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7. Ius gentium.</w:t>
      </w:r>
    </w:p>
    <w:p w:rsidR="009A01E4" w:rsidRPr="00F2076B" w:rsidRDefault="009A01E4" w:rsidP="00F2076B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8. Pramene práva – pramene poznania, pramene vzniku, materiálne a formálne.</w:t>
      </w:r>
    </w:p>
    <w:p w:rsidR="009A01E4" w:rsidRPr="00F2076B" w:rsidRDefault="009A01E4" w:rsidP="00F2076B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9. Obyčajové právo.</w:t>
      </w:r>
    </w:p>
    <w:p w:rsidR="009A01E4" w:rsidRPr="00F2076B" w:rsidRDefault="009A01E4" w:rsidP="00F2076B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10. Zákony (leges a plebiscita).</w:t>
      </w:r>
    </w:p>
    <w:p w:rsidR="009A01E4" w:rsidRPr="00F2076B" w:rsidRDefault="009A01E4" w:rsidP="00F2076B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11. Uznesenia senátu.</w:t>
      </w:r>
    </w:p>
    <w:p w:rsidR="009A01E4" w:rsidRPr="00F2076B" w:rsidRDefault="009A01E4" w:rsidP="00F2076B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12. Nariadenia úradníkov (edicta magistratuum).</w:t>
      </w:r>
    </w:p>
    <w:p w:rsidR="009A01E4" w:rsidRPr="00F2076B" w:rsidRDefault="009A01E4" w:rsidP="00F2076B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13. Jurisprudentia - dve obdobia v jej vývoji, č</w:t>
      </w:r>
      <w:r w:rsidR="00F2076B">
        <w:rPr>
          <w:rFonts w:ascii="Times New Roman" w:eastAsia="MS Mincho" w:hAnsi="Times New Roman"/>
          <w:sz w:val="24"/>
        </w:rPr>
        <w:t xml:space="preserve">innost rímskych právnikov, </w:t>
      </w:r>
      <w:r w:rsidRPr="00F2076B">
        <w:rPr>
          <w:rFonts w:ascii="Times New Roman" w:eastAsia="MS Mincho" w:hAnsi="Times New Roman"/>
          <w:sz w:val="24"/>
        </w:rPr>
        <w:t>interpretácia.</w:t>
      </w:r>
    </w:p>
    <w:p w:rsidR="009A01E4" w:rsidRPr="00F2076B" w:rsidRDefault="009A01E4" w:rsidP="00F2076B">
      <w:pPr>
        <w:pStyle w:val="Obyajntext"/>
        <w:spacing w:line="276" w:lineRule="auto"/>
        <w:ind w:left="540" w:hanging="54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14. Jurisprudencia - právnicke školy, významní právnici. Citačný zákon.</w:t>
      </w:r>
    </w:p>
    <w:p w:rsidR="009A01E4" w:rsidRPr="00F2076B" w:rsidRDefault="009A01E4" w:rsidP="00F2076B">
      <w:pPr>
        <w:pStyle w:val="Obyajntext"/>
        <w:spacing w:line="276" w:lineRule="auto"/>
        <w:ind w:left="540" w:hanging="54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15. Cisárske nariadenia.</w:t>
      </w:r>
    </w:p>
    <w:p w:rsidR="009A01E4" w:rsidRPr="00F2076B" w:rsidRDefault="009A01E4" w:rsidP="00F2076B">
      <w:pPr>
        <w:pStyle w:val="Obyajntext"/>
        <w:spacing w:line="276" w:lineRule="auto"/>
        <w:ind w:left="540" w:hanging="54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16. Justiniánska kodifikácia. </w:t>
      </w:r>
    </w:p>
    <w:p w:rsidR="009A01E4" w:rsidRPr="00F2076B" w:rsidRDefault="009A01E4" w:rsidP="00F2076B">
      <w:pPr>
        <w:pStyle w:val="Obyajntext"/>
        <w:spacing w:line="276" w:lineRule="auto"/>
        <w:ind w:left="540" w:hanging="54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17. Pojustiniánske osudy rímskeho práva (v západnej Európe).</w:t>
      </w:r>
    </w:p>
    <w:p w:rsidR="009A01E4" w:rsidRPr="00F2076B" w:rsidRDefault="009A01E4" w:rsidP="00F2076B">
      <w:pPr>
        <w:pStyle w:val="Obyajntext"/>
        <w:spacing w:line="276" w:lineRule="auto"/>
        <w:ind w:left="540" w:hanging="54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18. Pojem a rozdelenie subjektívnych práv.</w:t>
      </w:r>
    </w:p>
    <w:p w:rsidR="009A01E4" w:rsidRPr="00F2076B" w:rsidRDefault="009A01E4" w:rsidP="00F2076B">
      <w:pPr>
        <w:pStyle w:val="Obyajntext"/>
        <w:spacing w:line="276" w:lineRule="auto"/>
        <w:ind w:left="540" w:hanging="54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19. Ochrana subjektívnych práv (žaloba - pojem a druhy).</w:t>
      </w:r>
    </w:p>
    <w:p w:rsidR="009A01E4" w:rsidRPr="00F2076B" w:rsidRDefault="009A01E4" w:rsidP="00F2076B">
      <w:pPr>
        <w:pStyle w:val="Obyajntext"/>
        <w:spacing w:line="276" w:lineRule="auto"/>
        <w:ind w:left="540" w:hanging="54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20. Ochrana subjektívnych práv (námietka - pojem a druhy).</w:t>
      </w:r>
    </w:p>
    <w:p w:rsidR="009A01E4" w:rsidRPr="00F2076B" w:rsidRDefault="009A01E4" w:rsidP="00F2076B">
      <w:pPr>
        <w:pStyle w:val="Obyajntext"/>
        <w:spacing w:line="276" w:lineRule="auto"/>
        <w:ind w:left="540" w:hanging="54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21. Historický pohľad na rímsky občiansky proces.</w:t>
      </w:r>
    </w:p>
    <w:p w:rsidR="009A01E4" w:rsidRPr="00F2076B" w:rsidRDefault="009A01E4" w:rsidP="00F2076B">
      <w:pPr>
        <w:pStyle w:val="Obyajntext"/>
        <w:spacing w:line="276" w:lineRule="auto"/>
        <w:ind w:left="540" w:hanging="54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22. Orgány súdnej ochrany.</w:t>
      </w:r>
    </w:p>
    <w:p w:rsidR="009A01E4" w:rsidRPr="00F2076B" w:rsidRDefault="009A01E4" w:rsidP="00F2076B">
      <w:pPr>
        <w:pStyle w:val="Obyajntext"/>
        <w:spacing w:line="276" w:lineRule="auto"/>
        <w:ind w:left="540" w:hanging="54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23. Sporové strany.</w:t>
      </w:r>
    </w:p>
    <w:p w:rsidR="009A01E4" w:rsidRPr="00F2076B" w:rsidRDefault="009A01E4" w:rsidP="00F2076B">
      <w:pPr>
        <w:pStyle w:val="Obyajntext"/>
        <w:spacing w:line="276" w:lineRule="auto"/>
        <w:ind w:left="426" w:hanging="426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24. Základné črty súdnej ochrany subjektívnych práv (proces legisakčný, formulový a kogničný - podstatné rozdiely medzi nimi).</w:t>
      </w:r>
    </w:p>
    <w:p w:rsidR="009A01E4" w:rsidRPr="00F2076B" w:rsidRDefault="009A01E4" w:rsidP="00F2076B">
      <w:pPr>
        <w:pStyle w:val="Obyajntext"/>
        <w:spacing w:line="276" w:lineRule="auto"/>
        <w:ind w:left="360" w:hanging="36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25. Legisakčný proces - fázy; jednotlivé legisakcie.</w:t>
      </w:r>
    </w:p>
    <w:p w:rsidR="009A01E4" w:rsidRPr="00F2076B" w:rsidRDefault="009A01E4" w:rsidP="00F2076B">
      <w:pPr>
        <w:pStyle w:val="Obyajntext"/>
        <w:spacing w:line="276" w:lineRule="auto"/>
        <w:ind w:left="360" w:hanging="36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26. Formulový proces - konanie pred magistrátom (in iure).</w:t>
      </w:r>
    </w:p>
    <w:p w:rsidR="009A01E4" w:rsidRPr="00F2076B" w:rsidRDefault="009A01E4" w:rsidP="00F2076B">
      <w:pPr>
        <w:pStyle w:val="Obyajntext"/>
        <w:spacing w:line="276" w:lineRule="auto"/>
        <w:ind w:left="360" w:hanging="36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27. Litis contestatio vo formulovom procese - účinky.</w:t>
      </w:r>
    </w:p>
    <w:p w:rsidR="009A01E4" w:rsidRPr="00F2076B" w:rsidRDefault="009A01E4" w:rsidP="00F2076B">
      <w:pPr>
        <w:pStyle w:val="Obyajntext"/>
        <w:spacing w:line="276" w:lineRule="auto"/>
        <w:ind w:left="360" w:hanging="36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28. Formulový proces - žalobná formula - jej časti.</w:t>
      </w:r>
    </w:p>
    <w:p w:rsidR="009A01E4" w:rsidRPr="00F2076B" w:rsidRDefault="009A01E4" w:rsidP="00F2076B">
      <w:pPr>
        <w:pStyle w:val="Obyajntext"/>
        <w:spacing w:line="276" w:lineRule="auto"/>
        <w:ind w:left="360" w:hanging="36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29. Formulový proces - konanie pred sudcom (apud iudicem).</w:t>
      </w:r>
    </w:p>
    <w:p w:rsidR="009A01E4" w:rsidRPr="00F2076B" w:rsidRDefault="009A01E4" w:rsidP="00F2076B">
      <w:pPr>
        <w:pStyle w:val="Obyajntext"/>
        <w:spacing w:line="276" w:lineRule="auto"/>
        <w:ind w:left="360" w:hanging="36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30. Formulový proces. Výkon (exekúcia rozsudku).</w:t>
      </w:r>
    </w:p>
    <w:p w:rsidR="009A01E4" w:rsidRPr="00F2076B" w:rsidRDefault="009A01E4" w:rsidP="00F2076B">
      <w:pPr>
        <w:pStyle w:val="Obyajntext"/>
        <w:spacing w:line="276" w:lineRule="auto"/>
        <w:ind w:left="360" w:hanging="36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31. Zásady kogničného procesu.</w:t>
      </w:r>
    </w:p>
    <w:p w:rsidR="009A01E4" w:rsidRPr="00F2076B" w:rsidRDefault="009A01E4" w:rsidP="00F2076B">
      <w:pPr>
        <w:pStyle w:val="Obyajntext"/>
        <w:spacing w:line="276" w:lineRule="auto"/>
        <w:ind w:left="360" w:hanging="36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32. Osobitné druhy procesu v poklasickej dobe.</w:t>
      </w:r>
    </w:p>
    <w:p w:rsidR="009A01E4" w:rsidRPr="00F2076B" w:rsidRDefault="009A01E4" w:rsidP="00F2076B">
      <w:pPr>
        <w:pStyle w:val="Obyajntext"/>
        <w:spacing w:line="276" w:lineRule="auto"/>
        <w:ind w:left="360" w:hanging="36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33. Mimožalobná prétorská ochrana.</w:t>
      </w:r>
    </w:p>
    <w:p w:rsidR="009A01E4" w:rsidRPr="00F2076B" w:rsidRDefault="009A01E4" w:rsidP="00F2076B">
      <w:pPr>
        <w:pStyle w:val="Obyajntext"/>
        <w:spacing w:line="276" w:lineRule="auto"/>
        <w:ind w:left="360" w:hanging="36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34. Právna subjektivita prirodzených osôb, pojem, predpoklady jej priznania.</w:t>
      </w:r>
    </w:p>
    <w:p w:rsidR="009A01E4" w:rsidRPr="00F2076B" w:rsidRDefault="009A01E4" w:rsidP="00F2076B">
      <w:pPr>
        <w:pStyle w:val="Obyajntext"/>
        <w:spacing w:line="276" w:lineRule="auto"/>
        <w:ind w:left="360" w:hanging="36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35. Obmedzenia právnej spôsobilosti.</w:t>
      </w:r>
    </w:p>
    <w:p w:rsidR="009A01E4" w:rsidRPr="00F2076B" w:rsidRDefault="009A01E4" w:rsidP="00F2076B">
      <w:pPr>
        <w:pStyle w:val="Obyajntext"/>
        <w:spacing w:line="276" w:lineRule="auto"/>
        <w:ind w:left="360" w:hanging="36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36. Predpoklady úplnej právnej spôsobilosti. Vznik otroctva.</w:t>
      </w:r>
    </w:p>
    <w:p w:rsidR="009A01E4" w:rsidRPr="00F2076B" w:rsidRDefault="009A01E4" w:rsidP="00F2076B">
      <w:pPr>
        <w:pStyle w:val="Obyajntext"/>
        <w:spacing w:line="276" w:lineRule="auto"/>
        <w:ind w:left="360" w:hanging="36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37. Predpoklady úplnej právnej spôsobilosti. Zánik otroctva.</w:t>
      </w:r>
    </w:p>
    <w:p w:rsidR="009A01E4" w:rsidRPr="00F2076B" w:rsidRDefault="009A01E4" w:rsidP="00F2076B">
      <w:pPr>
        <w:pStyle w:val="Obyajntext"/>
        <w:spacing w:line="276" w:lineRule="auto"/>
        <w:ind w:left="360" w:hanging="36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lastRenderedPageBreak/>
        <w:t>38. Predpoklady úplnej právnej spôsobilosti. Občianstvo.</w:t>
      </w:r>
    </w:p>
    <w:p w:rsidR="009A01E4" w:rsidRPr="00F2076B" w:rsidRDefault="009A01E4" w:rsidP="00F2076B">
      <w:pPr>
        <w:pStyle w:val="Obyajntext"/>
        <w:spacing w:line="276" w:lineRule="auto"/>
        <w:ind w:left="360" w:hanging="36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39. Predpoklady úplnej právej spôsobilosti. Rodina (agnátska a kognátska).</w:t>
      </w:r>
    </w:p>
    <w:p w:rsidR="009A01E4" w:rsidRPr="00F2076B" w:rsidRDefault="009A01E4" w:rsidP="00F2076B">
      <w:pPr>
        <w:pStyle w:val="Obyajntext"/>
        <w:spacing w:line="276" w:lineRule="auto"/>
        <w:ind w:left="360" w:hanging="36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40. Moc hlavy rodiny. Patria potestas. </w:t>
      </w:r>
    </w:p>
    <w:p w:rsidR="009A01E4" w:rsidRPr="00F2076B" w:rsidRDefault="009A01E4" w:rsidP="00F2076B">
      <w:pPr>
        <w:pStyle w:val="Obyajntext"/>
        <w:spacing w:line="276" w:lineRule="auto"/>
        <w:ind w:left="360" w:hanging="36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41. Moc hlavy rodiny. Manželstvo.</w:t>
      </w:r>
    </w:p>
    <w:p w:rsidR="009A01E4" w:rsidRPr="00F2076B" w:rsidRDefault="009A01E4" w:rsidP="00F2076B">
      <w:pPr>
        <w:pStyle w:val="Obyajntext"/>
        <w:spacing w:line="276" w:lineRule="auto"/>
        <w:ind w:left="360" w:hanging="36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42. Majetkové vzťahy medzi manželmi.</w:t>
      </w:r>
    </w:p>
    <w:p w:rsidR="009A01E4" w:rsidRPr="00F2076B" w:rsidRDefault="009A01E4" w:rsidP="00F2076B">
      <w:pPr>
        <w:pStyle w:val="Obyajntext"/>
        <w:spacing w:line="276" w:lineRule="auto"/>
        <w:ind w:left="360" w:hanging="36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43. Spôsobilosť prirodzených osôb právne konať. Dôvody obmedzenia spôsobilosti právne konať.</w:t>
      </w:r>
    </w:p>
    <w:p w:rsidR="009A01E4" w:rsidRPr="00F2076B" w:rsidRDefault="009A01E4" w:rsidP="00F2076B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44. Poručníctvo.</w:t>
      </w:r>
    </w:p>
    <w:p w:rsidR="009A01E4" w:rsidRPr="00F2076B" w:rsidRDefault="009A01E4" w:rsidP="00F2076B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45. Opatrovníctvo.</w:t>
      </w:r>
    </w:p>
    <w:p w:rsidR="009A01E4" w:rsidRPr="00F2076B" w:rsidRDefault="009A01E4" w:rsidP="00F2076B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46. Právnické osoby. Korporácie.</w:t>
      </w:r>
    </w:p>
    <w:p w:rsidR="009A01E4" w:rsidRPr="00F2076B" w:rsidRDefault="009A01E4" w:rsidP="00F2076B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47. Právnické osoby. Nadácie a ústavy.</w:t>
      </w:r>
    </w:p>
    <w:p w:rsidR="009A01E4" w:rsidRPr="00F2076B" w:rsidRDefault="009A01E4" w:rsidP="00F2076B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48. Právny úkon, pojem, náležitosti jeho platnosti.</w:t>
      </w:r>
    </w:p>
    <w:p w:rsidR="009A01E4" w:rsidRPr="00F2076B" w:rsidRDefault="009A01E4" w:rsidP="00F2076B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49. Právny úkon - pojem, druhy právneho úkonu.</w:t>
      </w:r>
    </w:p>
    <w:p w:rsidR="009A01E4" w:rsidRPr="00F2076B" w:rsidRDefault="009A01E4" w:rsidP="00F2076B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50. Právny úkon, jeho zložky,  jeho štruktúra.</w:t>
      </w:r>
    </w:p>
    <w:p w:rsidR="009A01E4" w:rsidRPr="00F2076B" w:rsidRDefault="009A01E4" w:rsidP="00F2076B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51. Vedľajšie zložky právneho úkonu. Podmienka.</w:t>
      </w:r>
    </w:p>
    <w:p w:rsidR="009A01E4" w:rsidRPr="00F2076B" w:rsidRDefault="009A01E4" w:rsidP="00F2076B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52. Vedľajšie zložky právneho úkonu. Uloženie času. </w:t>
      </w:r>
    </w:p>
    <w:p w:rsidR="009A01E4" w:rsidRPr="00F2076B" w:rsidRDefault="009A01E4" w:rsidP="00F2076B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53. Vedľajšie zložky právneho úkonu. Doložky.</w:t>
      </w:r>
    </w:p>
    <w:p w:rsidR="009A01E4" w:rsidRPr="00F2076B" w:rsidRDefault="009A01E4" w:rsidP="00F2076B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54. Prejav vôle pri právnom úkone, pojem a spôsoby prejavu vôle.</w:t>
      </w:r>
    </w:p>
    <w:p w:rsidR="009A01E4" w:rsidRPr="00F2076B" w:rsidRDefault="009A01E4" w:rsidP="00F2076B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55. Priame zastúpenie pri právnom úkone.</w:t>
      </w:r>
    </w:p>
    <w:p w:rsidR="009A01E4" w:rsidRPr="00F2076B" w:rsidRDefault="009A01E4" w:rsidP="00F2076B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56. Nepriame zastúpenie pri právnom úkone.</w:t>
      </w:r>
    </w:p>
    <w:p w:rsidR="009A01E4" w:rsidRPr="00F2076B" w:rsidRDefault="009A01E4" w:rsidP="00F2076B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57. Prípady nezhody vôle s prejavom pri právnom úkone (všeobecne).</w:t>
      </w:r>
    </w:p>
    <w:p w:rsidR="009A01E4" w:rsidRPr="00F2076B" w:rsidRDefault="009A01E4" w:rsidP="00F2076B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58. Prípady nezhody vôle s prejavom pri právnom úkone. Omyl. </w:t>
      </w:r>
    </w:p>
    <w:p w:rsidR="009A01E4" w:rsidRPr="00F2076B" w:rsidRDefault="009A01E4" w:rsidP="00F2076B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59. Prípady nezhody vôle s prejavom pri právnom úkone. Simulácia.</w:t>
      </w:r>
    </w:p>
    <w:p w:rsidR="009A01E4" w:rsidRPr="00F2076B" w:rsidRDefault="009A01E4" w:rsidP="00F2076B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60. Fyzické donútenie pri právnom úkone. </w:t>
      </w:r>
    </w:p>
    <w:p w:rsidR="009A01E4" w:rsidRPr="00F2076B" w:rsidRDefault="009A01E4" w:rsidP="00F2076B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61. Psychické donútenie.</w:t>
      </w:r>
    </w:p>
    <w:p w:rsidR="009A01E4" w:rsidRPr="00F2076B" w:rsidRDefault="009A01E4" w:rsidP="00F2076B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62. Vady právneho úkonu. Redukcia.</w:t>
      </w:r>
    </w:p>
    <w:p w:rsidR="009A01E4" w:rsidRPr="00F2076B" w:rsidRDefault="009A01E4" w:rsidP="00F2076B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63. Vady právneho úkonu. Konvalidácia.</w:t>
      </w:r>
    </w:p>
    <w:p w:rsidR="009A01E4" w:rsidRPr="00F2076B" w:rsidRDefault="009A01E4" w:rsidP="00F2076B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64. V</w:t>
      </w:r>
      <w:r w:rsidR="00F2076B">
        <w:rPr>
          <w:rFonts w:ascii="Times New Roman" w:eastAsia="MS Mincho" w:hAnsi="Times New Roman"/>
          <w:sz w:val="24"/>
        </w:rPr>
        <w:t>ady právneho úkonu. Konverzia.</w:t>
      </w:r>
    </w:p>
    <w:sectPr w:rsidR="009A01E4" w:rsidRPr="00F20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1E4"/>
    <w:rsid w:val="00332E2B"/>
    <w:rsid w:val="006F6B1C"/>
    <w:rsid w:val="008D7CF7"/>
    <w:rsid w:val="009A01E4"/>
    <w:rsid w:val="00B77F9E"/>
    <w:rsid w:val="00DF2CFC"/>
    <w:rsid w:val="00F2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18C7"/>
  <w15:docId w15:val="{44F46B4F-D39B-4505-847C-66DFA643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A0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rsid w:val="009A01E4"/>
    <w:rPr>
      <w:rFonts w:ascii="Courier New" w:hAnsi="Courier New"/>
      <w:sz w:val="20"/>
      <w:szCs w:val="20"/>
      <w:lang w:val="cs-CZ" w:eastAsia="cs-CZ"/>
    </w:rPr>
  </w:style>
  <w:style w:type="character" w:customStyle="1" w:styleId="ObyajntextChar">
    <w:name w:val="Obyčajný text Char"/>
    <w:basedOn w:val="Predvolenpsmoodseku"/>
    <w:link w:val="Obyajntext"/>
    <w:rsid w:val="009A01E4"/>
    <w:rPr>
      <w:rFonts w:ascii="Courier New" w:eastAsia="Times New Roman" w:hAnsi="Courier New" w:cs="Times New Roman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fico</dc:creator>
  <cp:lastModifiedBy>Dávid Pandy</cp:lastModifiedBy>
  <cp:revision>3</cp:revision>
  <dcterms:created xsi:type="dcterms:W3CDTF">2017-09-05T15:22:00Z</dcterms:created>
  <dcterms:modified xsi:type="dcterms:W3CDTF">2018-09-20T11:08:00Z</dcterms:modified>
</cp:coreProperties>
</file>