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8A" w:rsidRDefault="0000218A" w:rsidP="00985F61">
      <w:pPr>
        <w:spacing w:before="240" w:line="360" w:lineRule="auto"/>
        <w:jc w:val="center"/>
        <w:rPr>
          <w:rFonts w:ascii="Times New Roman" w:hAnsi="Times New Roman"/>
          <w:b/>
          <w:bCs/>
        </w:rPr>
      </w:pPr>
      <w:r>
        <w:rPr>
          <w:rFonts w:ascii="Times New Roman" w:hAnsi="Times New Roman"/>
          <w:b/>
          <w:bCs/>
        </w:rPr>
        <w:t>PREDNÁŠKA: Právo medzinárodného obchodu 22. 9. 2015</w:t>
      </w:r>
    </w:p>
    <w:p w:rsidR="0000218A" w:rsidRDefault="0000218A" w:rsidP="00985F61">
      <w:pPr>
        <w:spacing w:before="240" w:line="360" w:lineRule="auto"/>
        <w:jc w:val="center"/>
        <w:rPr>
          <w:rFonts w:ascii="Times New Roman" w:hAnsi="Times New Roman"/>
          <w:b/>
          <w:bCs/>
        </w:rPr>
      </w:pPr>
    </w:p>
    <w:p w:rsidR="0000218A" w:rsidRDefault="0000218A" w:rsidP="00985F61">
      <w:pPr>
        <w:spacing w:before="240" w:line="360" w:lineRule="auto"/>
        <w:jc w:val="center"/>
        <w:rPr>
          <w:rFonts w:ascii="Times New Roman" w:hAnsi="Times New Roman"/>
        </w:rPr>
      </w:pPr>
      <w:r>
        <w:rPr>
          <w:rFonts w:ascii="Times New Roman" w:hAnsi="Times New Roman"/>
          <w:b/>
          <w:bCs/>
        </w:rPr>
        <w:t>Pojem práva medzinárodného obchodu a jeho miesto v systéme medzinárodného práva</w:t>
      </w:r>
    </w:p>
    <w:p w:rsidR="0000218A" w:rsidRDefault="0000218A" w:rsidP="00985F61">
      <w:pPr>
        <w:pStyle w:val="Zkladntext2"/>
        <w:tabs>
          <w:tab w:val="clear" w:pos="-3060"/>
        </w:tabs>
        <w:spacing w:before="240" w:line="360" w:lineRule="auto"/>
      </w:pPr>
      <w:r>
        <w:tab/>
        <w:t xml:space="preserve">Okrídlená fráza „obchod nepozná hranice“ vypovedá, že obchodníci z rôznych krajín  sú ochotní urobiť všetko preto, aby vzájomne výhodný obchod uskutočnili, sú ochotní prekonať všetky prekážky, obmedzenia, bariéry, ktoré bránia uskutočneniu obchodu, v záujme toho, aby naplnili zmysel svojej obchodnej činnosti, t. j. aby dosiahli zisk. Z tohto výroku možno tiež vyvodiť, že sú to štáty, ktoré vytváraním hraníc, vymedzením colného územia, vytvárajú bariéry pre obchodovanie. Obchodná výmena uskutočňovaná medzi obchodníkmi z rôznych krajín môže byť z pohľadu štátu výhodná a štát v takomto prípade bude podporovať rozvoj obchodu napr. tým, že sa na výhodných pravidlách obchodovania dohodne s inými štátmi a že bude rôznymi formami podporovať tuzemských obchodníkov v ich aktivitách smerom do zahraničia a naopak nebude brániť zahraničným obchodníkom obchodovať v tuzemsku. Môže nastať aj opačná situácia, že obchodovanie so zahraničím, napr. v určitých komoditách, sa bude javiť pre štát ako nevýhodné, a preto štát sa dohodne s iným štátom na obmedzení obchodu, napr. dohodnutím konkrétnych kvót na dovozy a vývozy určitého tovaru, alebo aj jednostranným zavádzaním rôznych ochranných opatrení, ktorými bude chrániť domácich obchodníkov a bude brániť vstupu zahraničných obchodníkov na domáci trh. </w:t>
      </w:r>
    </w:p>
    <w:p w:rsidR="0000218A" w:rsidRDefault="0000218A" w:rsidP="00985F61">
      <w:pPr>
        <w:pStyle w:val="Zkladntext2"/>
        <w:tabs>
          <w:tab w:val="clear" w:pos="-3060"/>
        </w:tabs>
        <w:spacing w:before="240" w:line="360" w:lineRule="auto"/>
        <w:ind w:firstLine="540"/>
      </w:pPr>
      <w:r>
        <w:t>V oblasti obchodovania so zahraničím sa formujú tri okruhy vzťahov, a to:</w:t>
      </w:r>
    </w:p>
    <w:p w:rsidR="0000218A" w:rsidRDefault="0000218A" w:rsidP="00985F61">
      <w:pPr>
        <w:pStyle w:val="Zkladntext2"/>
        <w:numPr>
          <w:ilvl w:val="4"/>
          <w:numId w:val="4"/>
        </w:numPr>
        <w:tabs>
          <w:tab w:val="clear" w:pos="-3060"/>
          <w:tab w:val="clear" w:pos="3630"/>
        </w:tabs>
        <w:spacing w:before="240" w:line="360" w:lineRule="auto"/>
        <w:ind w:left="1080" w:hanging="540"/>
      </w:pPr>
      <w:r>
        <w:t>vzťahy medzi štátmi navzájom a vzťahy medzi štátmi a medzinárodnými organizáciami medzištátnej povahy</w:t>
      </w:r>
    </w:p>
    <w:p w:rsidR="0000218A" w:rsidRDefault="0000218A" w:rsidP="00985F61">
      <w:pPr>
        <w:pStyle w:val="Zkladntext2"/>
        <w:numPr>
          <w:ilvl w:val="4"/>
          <w:numId w:val="4"/>
        </w:numPr>
        <w:tabs>
          <w:tab w:val="clear" w:pos="-3060"/>
          <w:tab w:val="clear" w:pos="3630"/>
        </w:tabs>
        <w:spacing w:before="240" w:line="360" w:lineRule="auto"/>
        <w:ind w:left="1080" w:hanging="540"/>
      </w:pPr>
      <w:r>
        <w:t>vzťahy medzi štátom a obchodníkmi (podnikateľmi) z daného štátu</w:t>
      </w:r>
    </w:p>
    <w:p w:rsidR="0000218A" w:rsidRDefault="0000218A" w:rsidP="00985F61">
      <w:pPr>
        <w:pStyle w:val="Zkladntext2"/>
        <w:numPr>
          <w:ilvl w:val="4"/>
          <w:numId w:val="4"/>
        </w:numPr>
        <w:tabs>
          <w:tab w:val="clear" w:pos="-3060"/>
          <w:tab w:val="clear" w:pos="3630"/>
        </w:tabs>
        <w:spacing w:before="240" w:line="360" w:lineRule="auto"/>
        <w:ind w:left="1080" w:hanging="540"/>
      </w:pPr>
      <w:r>
        <w:t>vzťahy medzi obchodníkmi z rôznych štátov navzájom.</w:t>
      </w:r>
    </w:p>
    <w:p w:rsidR="00985F61" w:rsidRDefault="0000218A" w:rsidP="00985F61">
      <w:pPr>
        <w:pStyle w:val="Zkladntext2"/>
        <w:tabs>
          <w:tab w:val="clear" w:pos="-3060"/>
        </w:tabs>
        <w:spacing w:before="240" w:line="360" w:lineRule="auto"/>
      </w:pPr>
      <w:r>
        <w:t>Uskutočnenie konkrétneho obchodu medzi obchodníkmi z rôznych štátov je tak výsledkom fungovania</w:t>
      </w:r>
      <w:r w:rsidR="00985F61">
        <w:t xml:space="preserve"> (prepojenia)</w:t>
      </w:r>
      <w:r>
        <w:t xml:space="preserve"> všetkých uvedených okruhov vzťahov.</w:t>
      </w:r>
    </w:p>
    <w:p w:rsidR="00985F61" w:rsidRDefault="00985F61" w:rsidP="00985F61">
      <w:pPr>
        <w:pStyle w:val="Zkladntext2"/>
        <w:tabs>
          <w:tab w:val="clear" w:pos="-3060"/>
        </w:tabs>
        <w:spacing w:before="240" w:line="360" w:lineRule="auto"/>
      </w:pPr>
    </w:p>
    <w:p w:rsidR="00985F61" w:rsidRDefault="00985F61" w:rsidP="00985F61">
      <w:pPr>
        <w:pStyle w:val="Zkladntext2"/>
        <w:tabs>
          <w:tab w:val="clear" w:pos="-3060"/>
        </w:tabs>
        <w:spacing w:before="240" w:line="360" w:lineRule="auto"/>
      </w:pPr>
    </w:p>
    <w:p w:rsidR="0000218A" w:rsidRDefault="0000218A" w:rsidP="00985F61">
      <w:pPr>
        <w:pStyle w:val="Zkladntext2"/>
        <w:tabs>
          <w:tab w:val="clear" w:pos="-3060"/>
        </w:tabs>
        <w:spacing w:before="240" w:line="360" w:lineRule="auto"/>
      </w:pPr>
      <w:r>
        <w:lastRenderedPageBreak/>
        <w:t>ad 1)</w:t>
      </w:r>
    </w:p>
    <w:p w:rsidR="0000218A" w:rsidRDefault="0000218A" w:rsidP="00985F61">
      <w:pPr>
        <w:pStyle w:val="Zkladntext2"/>
        <w:tabs>
          <w:tab w:val="clear" w:pos="-3060"/>
        </w:tabs>
        <w:spacing w:before="240" w:line="360" w:lineRule="auto"/>
      </w:pPr>
      <w:r>
        <w:t>Vzťahy medzi štátmi navzájom a medzi štátmi a medzinárodnými organizáciami medzištátnej povahy v hospodárskej sfére, sú vzťahy medzi štátmi ako medzinárodnými suverénmi, a ako také predstavujú oblasť vzťahov v rámci medzinárodného práva verejného. Táto časť medzinárodného práva verejného je potom niektorými autormi označovaná ako medzinárodné ekonomické právo. Naděžda Rozehnalová vymedzuje medzinárodné ekonomické právo ako odvetvie medzinárodného práva verejného zaoberajúceho sa ekonomickými vzťahmi medzi subjektami medzinárodného práva verejného a reguláciou ich činností, ktorá má následne vplyv na konanie subjektov uskutočňujúcich samotné obchodné transakcie</w:t>
      </w:r>
      <w:r>
        <w:rPr>
          <w:rStyle w:val="Odkaznapoznmkupodiarou"/>
        </w:rPr>
        <w:footnoteReference w:id="1"/>
      </w:r>
      <w:r>
        <w:t>. Predmetom týchto vzťahov medzi štátmi a medzinárodnými organizáciami medzištátnej povahy je dojednávanie pravidiel uskutočňovania obchodovania a iných foriem hospodárskej kooperácie medzi štátmi v celosvetovom alebo regionálnom rámci alebo pravidiel dvojstranných vzťahov pri obchodovaní a v ďalších formách hospodárskej spolupráce. Takto vytvorené pravidlá, ktoré sú obsiahnuté v medzinárodných zmluvách, sú potom štáty povinné uplatňovať vo vzťahu k obchodníkom, podnikateľom vo svojej krajine, ako aj vo vzťahu k obchodníkom z druhého štátu, či z ostatných štátov, ktoré uzavreli danú medzinárodnú zmluvu, alebo k nej pristúpili. Vladimír Balaš a Pavel Šturma vymedzujú medzinárodné ekonomické právo ako oblasť medzinárodného práva verejného, tvorené pravidlami upravujúcimi organizáciu medzinárodných ekonomických vzťahov (teda prevažne makroekonomické vzťahy)</w:t>
      </w:r>
      <w:r>
        <w:rPr>
          <w:rStyle w:val="Odkaznapoznmkupodiarou"/>
        </w:rPr>
        <w:footnoteReference w:id="2"/>
      </w:r>
      <w:r>
        <w:t>. Podľa uvedených autorov, s ktorými sa stotožňuje aj Naděžda Rozehnalová sa medzinárodné ekonomické právo ďalej člení na vzťahy úpravu medzinárodného obchodného systému, medzinárodné, finančné a menové právo, medzinárodné právo rozvoja a právo medzinárodných investícií.</w:t>
      </w:r>
    </w:p>
    <w:p w:rsidR="0000218A" w:rsidRDefault="0000218A" w:rsidP="00985F61">
      <w:pPr>
        <w:pStyle w:val="Zkladntext2"/>
        <w:tabs>
          <w:tab w:val="clear" w:pos="-3060"/>
        </w:tabs>
        <w:spacing w:before="240" w:line="360" w:lineRule="auto"/>
      </w:pPr>
      <w:r>
        <w:t>ad 2)</w:t>
      </w:r>
    </w:p>
    <w:p w:rsidR="0000218A" w:rsidRDefault="0000218A" w:rsidP="00985F61">
      <w:pPr>
        <w:pStyle w:val="Zkladntext2"/>
        <w:tabs>
          <w:tab w:val="clear" w:pos="-3060"/>
        </w:tabs>
        <w:spacing w:before="240" w:line="360" w:lineRule="auto"/>
      </w:pPr>
      <w:r>
        <w:t>Vzťah štátu k obchodníkom (podnikateľom) z daného štátu patrí do sféry vnútroštátneho verejného práva. Predmetom týchto vzťahov je napr. udeľovanie licencií na vývozy či dovozy tovarov, poskytovanie investičných stimulov, prípustných foriem štátnej pomoci na podporu podnikania, obrana proti nedovoleným dovozom, proti dumpingovým praktikám a pod. Tieto vzťahy sa zaraďujú buď do správneho práva alebo do hospodárskeho práva. Tieto vzťahy sú regulované vnútroštátnymi normatívnymi právnymi aktmi, vnútroštátnym zákonodarstvom.</w:t>
      </w:r>
    </w:p>
    <w:p w:rsidR="0000218A" w:rsidRDefault="0000218A" w:rsidP="00985F61">
      <w:pPr>
        <w:pStyle w:val="Zkladntext2"/>
        <w:tabs>
          <w:tab w:val="clear" w:pos="-3060"/>
        </w:tabs>
        <w:spacing w:before="240" w:line="360" w:lineRule="auto"/>
      </w:pPr>
      <w:r>
        <w:lastRenderedPageBreak/>
        <w:t>ad 3)</w:t>
      </w:r>
    </w:p>
    <w:p w:rsidR="0000218A" w:rsidRDefault="0000218A" w:rsidP="00985F61">
      <w:pPr>
        <w:pStyle w:val="Zkladntext2"/>
        <w:tabs>
          <w:tab w:val="clear" w:pos="-3060"/>
        </w:tabs>
        <w:spacing w:before="240" w:line="360" w:lineRule="auto"/>
      </w:pPr>
      <w:r>
        <w:t>Tretiu oblasť predstavujú vzťahy medzi obchodníkmi z rôznych krajín, ako súkromnoprávnymi subjektami a sú založené na princípoch vzájomnej rovnosti strán, dobrovoľnosti, vzájomnej výhodnosti takýchto vzťahov a pod. Môže ísť o vzťahy medzi obchodníkmi ako fyzickými osobami alebo právnickými osobami, bez ohľadu na ich veľkosť, t. j. od drobných obchodníkov až po transnacionálne korporácie. Aj v týchto vzťahoch však môže vystupovať za určitých okolností aj štát ako obchodník, teda ako rovnocenný partner iných obchodníkov. Tieto vzťahy patria do sféry súkromného práva a sú regulované buď medzinárodnými unifikovanými normami alebo tým právnym poriadkom na ktorom sa obchodníci dohodli, prípadne právnym poriadkom, na ktorý odkazuje kolízna norma. Vnútroštátne právo niektorých krajín, vrátane Slovenskej republiky, obsahuje osobitnú úpravu pre záväzkové vzťahy v medzinárodnom obchode, ktorá sa použije v prípade, ak sa strany dohodli na použití práva daného štátu alebo ak na toto právo odkazuje kolízna norma. Ak takáto osobitná úprava nie je súčasťou právneho poriadku danej krajiny, postupuje sa podľa všeobecného súkromného práva platného v danej krajine.</w:t>
      </w:r>
    </w:p>
    <w:p w:rsidR="0000218A" w:rsidRDefault="0000218A" w:rsidP="00985F61">
      <w:pPr>
        <w:pStyle w:val="Zkladntext2"/>
        <w:tabs>
          <w:tab w:val="clear" w:pos="-3060"/>
        </w:tabs>
        <w:spacing w:before="240" w:line="360" w:lineRule="auto"/>
      </w:pPr>
      <w:r>
        <w:tab/>
        <w:t>Právo medzinárodného obchodu predstavuje veľmi rôznorodú skupinu právnych noriem a preto sa nepovažuje za samostatné alebo jednotné právne odvetvie, ale za súbor právnych noriem, ktorý spája uskutočňovanie medzinárodného obchodu. Niektorí autori označujú takýto súbor noriem pojmom medzinárodné obchodné právo, pričom ponímajú medzinárodné obchodné právo ako osobitnú oblasť medzinárodného práva súkromného, ktoré zahŕňa normy upravujúce vzťahy v medzinárodnom obchode. Napr. Juraj Cúth vymedzil medzinárodné obchodné právo ako „súhrn právnych noriem zakotvených v medzinárodných zmluvách, v medzinárodných obyčajoch a vo vnútroštátnych predpisoch, ktoré upravujú spoločenské vzťahy vznikajúce v medzinárodnom obchode“</w:t>
      </w:r>
      <w:r>
        <w:rPr>
          <w:rStyle w:val="Odkaznapoznmkupodiarou"/>
        </w:rPr>
        <w:footnoteReference w:id="3"/>
      </w:r>
      <w:r>
        <w:t>. Medzinárodné obchodné právo ponímajú Otto Kunz a Zdeněk Kučera ako súbor noriem rôznej povahy  a rôzneho pôvodu, t. j. vnútroštátnych i medzinárodných, ktorých funkciou je úprava spoločenských vzťahov, ktoré vznikajú pri uskutočňovaní medzinárodných hospodárskych stykov</w:t>
      </w:r>
      <w:r>
        <w:rPr>
          <w:rStyle w:val="Odkaznapoznmkupodiarou"/>
        </w:rPr>
        <w:footnoteReference w:id="4"/>
      </w:r>
      <w:r>
        <w:t>.</w:t>
      </w:r>
    </w:p>
    <w:p w:rsidR="0000218A" w:rsidRDefault="0000218A" w:rsidP="00985F61">
      <w:pPr>
        <w:pStyle w:val="Zkladntext2"/>
        <w:tabs>
          <w:tab w:val="clear" w:pos="-3060"/>
        </w:tabs>
        <w:spacing w:before="240" w:line="360" w:lineRule="auto"/>
        <w:ind w:firstLine="708"/>
      </w:pPr>
      <w:r>
        <w:t xml:space="preserve">Právo medzinárodného obchodu, ako súbor právnych noriem upravujúcich pravidlá obchodovania medzi obchodníkmi z rôznych krajín sa vytvára na základe ekonomických dôvodov, resp. je ovplyvňované ekonomickými dôvodmi ale tiež politickými vplyvmi či </w:t>
      </w:r>
      <w:r>
        <w:lastRenderedPageBreak/>
        <w:t>politickými dôvodmi. Najmä ekonomické dôvody sú tými, ktoré ovplyvňujú postoje štátov k obchodovaniu ich obchodníkov s obchodníkmi z iných krajín. Štáty takéto obchodné aktivity buď podporujú a vytvárajú pre ich rozmach a rozšírenie čo najvhodnejšie podmienky alebo naopak, z rôznych dôvodov takéto obchodné aktivity obmedzujú, regulujú a usilujú o ich minimalizáciu. Politika štátov v oblasti obchodovania so zahraničím osciluje medzi protekcionizmom a liberalizmom. Ekonomická teória formuluje viaceré dôvody, ktoré vedú štáty k tomu, aby vo svojej hospodárskej politike presadzovali protekcionistické prístupy. Ako dôvody protekcionizmu uvádza ekonomická teória najmä:</w:t>
      </w:r>
    </w:p>
    <w:p w:rsidR="0000218A" w:rsidRDefault="0000218A" w:rsidP="008257D0">
      <w:pPr>
        <w:pStyle w:val="Zkladntext2"/>
        <w:numPr>
          <w:ilvl w:val="0"/>
          <w:numId w:val="2"/>
        </w:numPr>
        <w:tabs>
          <w:tab w:val="clear" w:pos="-3060"/>
        </w:tabs>
        <w:spacing w:line="360" w:lineRule="auto"/>
      </w:pPr>
      <w:r>
        <w:t>existenciu nedospelých odvetví</w:t>
      </w:r>
    </w:p>
    <w:p w:rsidR="0000218A" w:rsidRDefault="0000218A" w:rsidP="008257D0">
      <w:pPr>
        <w:pStyle w:val="Zkladntext2"/>
        <w:numPr>
          <w:ilvl w:val="0"/>
          <w:numId w:val="2"/>
        </w:numPr>
        <w:tabs>
          <w:tab w:val="clear" w:pos="-3060"/>
        </w:tabs>
        <w:spacing w:line="360" w:lineRule="auto"/>
      </w:pPr>
      <w:r>
        <w:t>bezpečnostné dôvody</w:t>
      </w:r>
    </w:p>
    <w:p w:rsidR="0000218A" w:rsidRDefault="0000218A" w:rsidP="008257D0">
      <w:pPr>
        <w:pStyle w:val="Zkladntext2"/>
        <w:numPr>
          <w:ilvl w:val="0"/>
          <w:numId w:val="2"/>
        </w:numPr>
        <w:tabs>
          <w:tab w:val="clear" w:pos="-3060"/>
        </w:tabs>
        <w:spacing w:line="360" w:lineRule="auto"/>
      </w:pPr>
      <w:r>
        <w:t>potrebu ochrany voči nekalým praktikám</w:t>
      </w:r>
    </w:p>
    <w:p w:rsidR="0000218A" w:rsidRDefault="0000218A" w:rsidP="008257D0">
      <w:pPr>
        <w:pStyle w:val="Zkladntext2"/>
        <w:numPr>
          <w:ilvl w:val="0"/>
          <w:numId w:val="2"/>
        </w:numPr>
        <w:tabs>
          <w:tab w:val="clear" w:pos="-3060"/>
        </w:tabs>
        <w:spacing w:line="360" w:lineRule="auto"/>
      </w:pPr>
      <w:r>
        <w:t>ochrana miezd a zamestnanosti.</w:t>
      </w:r>
    </w:p>
    <w:p w:rsidR="0000218A" w:rsidRDefault="0000218A" w:rsidP="00985F61">
      <w:pPr>
        <w:pStyle w:val="Zkladntext2"/>
        <w:tabs>
          <w:tab w:val="clear" w:pos="-3060"/>
        </w:tabs>
        <w:spacing w:before="240" w:line="360" w:lineRule="auto"/>
      </w:pPr>
      <w:r>
        <w:t>ad a)</w:t>
      </w:r>
    </w:p>
    <w:p w:rsidR="0000218A" w:rsidRDefault="0000218A" w:rsidP="00985F61">
      <w:pPr>
        <w:pStyle w:val="Zkladntext2"/>
        <w:tabs>
          <w:tab w:val="clear" w:pos="-3060"/>
        </w:tabs>
        <w:spacing w:before="240" w:line="360" w:lineRule="auto"/>
        <w:ind w:firstLine="708"/>
      </w:pPr>
      <w:r>
        <w:t>Za nedospelé odvetvia sa považujú také odvetvia hospodárstva určitého štátu, ktoré by neobstáli v konkurencii s podnikateľmi alebo obchodníkmi z krajín, v ktorých sú tieto odvetvia hospodárstva vyspelé. Príkladom takéhoto postupu bol prístup Nemecka krátko po zjednotení, kedy bolo potrebné chrániť nemecký hutnícky a strojársky priemysel pred konkurenciou zo strany britského hutníctva a strojárstva. Takýto ochranársky prístup umožňuje, aby sa domáce odvetvia stali konkurencieschopnými (inak povedané aby dospeli) a mohli súperiť s vyspelými odvetviami. V obdobnej situácii boli aj ekonomiky väčšiny krajín strednej a východnej Európy začiatkom 90-tych rokov, kedy tieto krajiny prechádzali procesom ekonomickej transformácie na podmienky trhového hospodárstva a boli nútené chrániť svoje nedostatočne rozvinuté hospodárske odvetvia pred konkurenciou zo strany vyspelých krajín. Pri ochrane nedospelých odvetví hrozí nebezpečenstvo, že nedospelé odvetvia budú prežívať pod ochranou protekcionistických opatrení ďalej, a že sa to zaostávanie oproti týmto odvetviam vo vyspelých krajinách ešte viac prehĺbi.</w:t>
      </w:r>
    </w:p>
    <w:p w:rsidR="0000218A" w:rsidRDefault="0000218A" w:rsidP="00985F61">
      <w:pPr>
        <w:pStyle w:val="Zkladntext2"/>
        <w:tabs>
          <w:tab w:val="clear" w:pos="-3060"/>
        </w:tabs>
        <w:spacing w:before="240" w:line="360" w:lineRule="auto"/>
      </w:pPr>
      <w:r>
        <w:t>ad b)</w:t>
      </w:r>
    </w:p>
    <w:p w:rsidR="0000218A" w:rsidRDefault="0000218A" w:rsidP="00985F61">
      <w:pPr>
        <w:pStyle w:val="Zkladntext2"/>
        <w:tabs>
          <w:tab w:val="clear" w:pos="-3060"/>
        </w:tabs>
        <w:spacing w:before="240" w:line="360" w:lineRule="auto"/>
        <w:ind w:firstLine="708"/>
      </w:pPr>
      <w:r>
        <w:t xml:space="preserve">Niektoré štáty formujú protekcionistické opatrenia z dôvodu zabezpečenia vlastnej bezpečnosti, resp. obranyschopnosti. Ak by totiž zaviedli liberálne pravidlá obchodovania so zbrojnými materiálmi či s muníciou a ďalšími prostriedkami potrebnými pre zabezpečenie ochrany a bezpečnosti, mohlo by to mať za následok, že sa k týmto prostriedkom nedostanú </w:t>
      </w:r>
      <w:r>
        <w:lastRenderedPageBreak/>
        <w:t>alebo nedostanú v dostatočnej miere v čase, keď ich budú najviac potrebovať a tým bude ohrozená ich obranyschopnosť a bezpečnosť. Štáty preto veľmi často dávajú prednosť podpore vývoja domácich zbraní, výzbroje, munície a pod. aby si tým zabezpečili svoju vlastnú bezpečnosť a obranyschopnosť.</w:t>
      </w:r>
    </w:p>
    <w:p w:rsidR="0000218A" w:rsidRDefault="0000218A" w:rsidP="00985F61">
      <w:pPr>
        <w:pStyle w:val="Zkladntext2"/>
        <w:tabs>
          <w:tab w:val="clear" w:pos="-3060"/>
        </w:tabs>
        <w:spacing w:before="240" w:line="360" w:lineRule="auto"/>
      </w:pPr>
      <w:r>
        <w:t>ad c)</w:t>
      </w:r>
    </w:p>
    <w:p w:rsidR="0000218A" w:rsidRDefault="0000218A" w:rsidP="00985F61">
      <w:pPr>
        <w:pStyle w:val="Zkladntext2"/>
        <w:tabs>
          <w:tab w:val="clear" w:pos="-3060"/>
        </w:tabs>
        <w:spacing w:before="240" w:line="360" w:lineRule="auto"/>
        <w:ind w:firstLine="708"/>
      </w:pPr>
      <w:r>
        <w:t>Protekcionistické opatrenia zavádzajú štáty aj z dôvodu ochrany domáceho priemyslu, resp. hospodárstva proti nekalým praktikám zo strany zahraničných obchodníkov, resp. zo strany samotných iných štátov. Takéto nekalé praktiky sa prejavujú napr. vo forme dumpingu, resp. vo forme cenových vojen, nadmerných dovozoch a pod. Proti takýmto nekalým praktikám sa možno pomerne účinne brániť, avšak treba mať na zreteli, že k takýmto obranným prostriedkom môžu siahnuť aj iné štáty v prípade, ak sa ich budú dotýkať ochranárske opatrenia, ktoré sú namierené voči nim.</w:t>
      </w:r>
    </w:p>
    <w:p w:rsidR="0000218A" w:rsidRDefault="0000218A" w:rsidP="00985F61">
      <w:pPr>
        <w:pStyle w:val="Zkladntext2"/>
        <w:tabs>
          <w:tab w:val="clear" w:pos="-3060"/>
        </w:tabs>
        <w:spacing w:before="240" w:line="360" w:lineRule="auto"/>
      </w:pPr>
      <w:r>
        <w:t>ad d)</w:t>
      </w:r>
    </w:p>
    <w:p w:rsidR="0000218A" w:rsidRDefault="0000218A" w:rsidP="00985F61">
      <w:pPr>
        <w:pStyle w:val="Zkladntext2"/>
        <w:tabs>
          <w:tab w:val="clear" w:pos="-3060"/>
        </w:tabs>
        <w:spacing w:before="240" w:line="360" w:lineRule="auto"/>
        <w:ind w:firstLine="708"/>
      </w:pPr>
      <w:r>
        <w:t>Ochrana miezd a miery zamestnanosti, resp. nezamestnanosti nie je podložená ekonomickými dôvodmi ale skôr politickými dôvodmi. Ak štát bude chrániť úroveň miezd svojich zamestnancov, ktorí pracujú v danom štáte, resp. bude chrániť mieru zamestnanosti, môže to mať za následok, že zákazníci budú v dôsledku protekcionistických opatrení nútení kupovať domáce produkty, aj keď budú drahšie alebo menej kvalitné než zahraničné. Prínos takýchto protekcionistických opatrení pre ekonomiku daného štátu, ktorý tieto opatrenia uplatňuje, potom spočíva v tom, že pri zachovaní úrovne miezd a miery zamestnanosti sa zvyšuje kúpyschopnosť obyvateľstva a dochádza v dôsledku rastu domácej spotreby k hospodárskemu rozvoju.</w:t>
      </w:r>
    </w:p>
    <w:p w:rsidR="000331F1" w:rsidRDefault="0000218A" w:rsidP="008257D0">
      <w:pPr>
        <w:pStyle w:val="Zkladntext2"/>
        <w:tabs>
          <w:tab w:val="clear" w:pos="-3060"/>
        </w:tabs>
        <w:spacing w:before="240" w:line="360" w:lineRule="auto"/>
      </w:pPr>
      <w:r>
        <w:tab/>
        <w:t>V ostatnom období je zreteľný jednoznačný príklon k liberalizácii obchodovania a k odbúravaniu prekážok obchodovania, pretože aj keď dochádza k odstráneniu protekcionistických opatrení obchodovania, a tým k obmedzeniu ochrany domáceho trhu, domácich podnikateľov, celkové efekty z liberalizácie obchodovania jednoznačne prevažu</w:t>
      </w:r>
      <w:r w:rsidR="008257D0">
        <w:t>jú nad eventuálnymi nevýhodami.</w:t>
      </w:r>
      <w:bookmarkStart w:id="0" w:name="_GoBack"/>
      <w:bookmarkEnd w:id="0"/>
    </w:p>
    <w:sectPr w:rsidR="000331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EA" w:rsidRDefault="00C579EA" w:rsidP="0000218A">
      <w:r>
        <w:separator/>
      </w:r>
    </w:p>
  </w:endnote>
  <w:endnote w:type="continuationSeparator" w:id="0">
    <w:p w:rsidR="00C579EA" w:rsidRDefault="00C579EA" w:rsidP="0000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04884"/>
      <w:docPartObj>
        <w:docPartGallery w:val="Page Numbers (Bottom of Page)"/>
        <w:docPartUnique/>
      </w:docPartObj>
    </w:sdtPr>
    <w:sdtContent>
      <w:p w:rsidR="0000218A" w:rsidRDefault="0000218A">
        <w:pPr>
          <w:pStyle w:val="Pta"/>
          <w:jc w:val="right"/>
        </w:pPr>
        <w:r w:rsidRPr="0000218A">
          <w:rPr>
            <w:rFonts w:ascii="Times New Roman" w:hAnsi="Times New Roman"/>
            <w:sz w:val="20"/>
          </w:rPr>
          <w:fldChar w:fldCharType="begin"/>
        </w:r>
        <w:r w:rsidRPr="0000218A">
          <w:rPr>
            <w:rFonts w:ascii="Times New Roman" w:hAnsi="Times New Roman"/>
            <w:sz w:val="20"/>
          </w:rPr>
          <w:instrText>PAGE   \* MERGEFORMAT</w:instrText>
        </w:r>
        <w:r w:rsidRPr="0000218A">
          <w:rPr>
            <w:rFonts w:ascii="Times New Roman" w:hAnsi="Times New Roman"/>
            <w:sz w:val="20"/>
          </w:rPr>
          <w:fldChar w:fldCharType="separate"/>
        </w:r>
        <w:r w:rsidR="008257D0">
          <w:rPr>
            <w:rFonts w:ascii="Times New Roman" w:hAnsi="Times New Roman"/>
            <w:noProof/>
            <w:sz w:val="20"/>
          </w:rPr>
          <w:t>4</w:t>
        </w:r>
        <w:r w:rsidRPr="0000218A">
          <w:rPr>
            <w:rFonts w:ascii="Times New Roman" w:hAnsi="Times New Roman"/>
            <w:sz w:val="20"/>
          </w:rPr>
          <w:fldChar w:fldCharType="end"/>
        </w:r>
      </w:p>
    </w:sdtContent>
  </w:sdt>
  <w:p w:rsidR="0000218A" w:rsidRDefault="000021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EA" w:rsidRDefault="00C579EA" w:rsidP="0000218A">
      <w:r>
        <w:separator/>
      </w:r>
    </w:p>
  </w:footnote>
  <w:footnote w:type="continuationSeparator" w:id="0">
    <w:p w:rsidR="00C579EA" w:rsidRDefault="00C579EA" w:rsidP="0000218A">
      <w:r>
        <w:continuationSeparator/>
      </w:r>
    </w:p>
  </w:footnote>
  <w:footnote w:id="1">
    <w:p w:rsidR="0000218A" w:rsidRDefault="0000218A" w:rsidP="0000218A">
      <w:pPr>
        <w:pStyle w:val="Textpoznmkypodiarou"/>
      </w:pPr>
      <w:r>
        <w:rPr>
          <w:rStyle w:val="Odkaznapoznmkupodiarou"/>
        </w:rPr>
        <w:footnoteRef/>
      </w:r>
      <w:r>
        <w:t xml:space="preserve"> napr. ROZEHNALOVÁ, N.: Právo mezinárodního obchodu, Praha, ASPI, a. s., 2006, s. 32 a  nasledujúce</w:t>
      </w:r>
    </w:p>
  </w:footnote>
  <w:footnote w:id="2">
    <w:p w:rsidR="0000218A" w:rsidRDefault="0000218A" w:rsidP="0000218A">
      <w:pPr>
        <w:pStyle w:val="Textpoznmkypodiarou"/>
      </w:pPr>
      <w:r>
        <w:rPr>
          <w:rStyle w:val="Odkaznapoznmkupodiarou"/>
        </w:rPr>
        <w:footnoteRef/>
      </w:r>
      <w:r>
        <w:t xml:space="preserve"> BALAŠ, V.,  ŠTURMA, P.: Kurs mezinárodního ekonomického práva, Praha</w:t>
      </w:r>
    </w:p>
  </w:footnote>
  <w:footnote w:id="3">
    <w:p w:rsidR="0000218A" w:rsidRDefault="0000218A" w:rsidP="0000218A">
      <w:pPr>
        <w:pStyle w:val="Textpoznmkypodiarou"/>
      </w:pPr>
      <w:r>
        <w:rPr>
          <w:rStyle w:val="Odkaznapoznmkupodiarou"/>
        </w:rPr>
        <w:footnoteRef/>
      </w:r>
      <w:r>
        <w:t xml:space="preserve"> CÚTH, J.: Medzinárodné obchodné právo, OBZOR, Bratislava, 1983</w:t>
      </w:r>
    </w:p>
  </w:footnote>
  <w:footnote w:id="4">
    <w:p w:rsidR="0000218A" w:rsidRDefault="0000218A" w:rsidP="0000218A">
      <w:pPr>
        <w:pStyle w:val="Textpoznmkypodiarou"/>
      </w:pPr>
      <w:r>
        <w:rPr>
          <w:rStyle w:val="Odkaznapoznmkupodiarou"/>
        </w:rPr>
        <w:footnoteRef/>
      </w:r>
      <w:r>
        <w:t xml:space="preserve">  KUČERA, Z.:</w:t>
      </w:r>
      <w:r w:rsidR="00985F61">
        <w:t xml:space="preserve"> Mezinárodní právo soukromé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2CF"/>
    <w:multiLevelType w:val="hybridMultilevel"/>
    <w:tmpl w:val="390C05EA"/>
    <w:lvl w:ilvl="0" w:tplc="D6D893F6">
      <w:start w:val="1"/>
      <w:numFmt w:val="decimal"/>
      <w:lvlText w:val="%1."/>
      <w:lvlJc w:val="left"/>
      <w:pPr>
        <w:tabs>
          <w:tab w:val="num" w:pos="720"/>
        </w:tabs>
        <w:ind w:left="720" w:hanging="360"/>
      </w:pPr>
      <w:rPr>
        <w:rFonts w:hint="default"/>
      </w:rPr>
    </w:lvl>
    <w:lvl w:ilvl="1" w:tplc="FB688F00">
      <w:numFmt w:val="bullet"/>
      <w:lvlText w:val="-"/>
      <w:lvlJc w:val="left"/>
      <w:pPr>
        <w:tabs>
          <w:tab w:val="num" w:pos="1440"/>
        </w:tabs>
        <w:ind w:left="1440" w:hanging="360"/>
      </w:pPr>
      <w:rPr>
        <w:rFonts w:ascii="Times New Roman" w:eastAsia="Times New Roman" w:hAnsi="Times New Roman" w:cs="Times New Roman" w:hint="default"/>
      </w:rPr>
    </w:lvl>
    <w:lvl w:ilvl="2" w:tplc="F8A22524">
      <w:start w:val="1"/>
      <w:numFmt w:val="lowerLetter"/>
      <w:lvlText w:val="%3)"/>
      <w:lvlJc w:val="left"/>
      <w:pPr>
        <w:tabs>
          <w:tab w:val="num" w:pos="2340"/>
        </w:tabs>
        <w:ind w:left="2340" w:hanging="360"/>
      </w:pPr>
      <w:rPr>
        <w:rFonts w:hint="default"/>
      </w:rPr>
    </w:lvl>
    <w:lvl w:ilvl="3" w:tplc="FB101B82">
      <w:start w:val="1"/>
      <w:numFmt w:val="lowerLetter"/>
      <w:lvlText w:val="%4)"/>
      <w:lvlJc w:val="left"/>
      <w:pPr>
        <w:tabs>
          <w:tab w:val="num" w:pos="2880"/>
        </w:tabs>
        <w:ind w:left="2880" w:hanging="360"/>
      </w:pPr>
      <w:rPr>
        <w:rFonts w:hint="default"/>
      </w:rPr>
    </w:lvl>
    <w:lvl w:ilvl="4" w:tplc="2048B234">
      <w:start w:val="1"/>
      <w:numFmt w:val="decimal"/>
      <w:lvlText w:val="%5)"/>
      <w:lvlJc w:val="left"/>
      <w:pPr>
        <w:tabs>
          <w:tab w:val="num" w:pos="3630"/>
        </w:tabs>
        <w:ind w:left="3630" w:hanging="390"/>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C059BC"/>
    <w:multiLevelType w:val="hybridMultilevel"/>
    <w:tmpl w:val="2CDED07E"/>
    <w:lvl w:ilvl="0" w:tplc="702005AE">
      <w:start w:val="1"/>
      <w:numFmt w:val="decimal"/>
      <w:lvlText w:val="%1."/>
      <w:lvlJc w:val="left"/>
      <w:pPr>
        <w:tabs>
          <w:tab w:val="num" w:pos="720"/>
        </w:tabs>
        <w:ind w:left="720" w:hanging="360"/>
      </w:pPr>
      <w:rPr>
        <w:rFonts w:hint="default"/>
      </w:rPr>
    </w:lvl>
    <w:lvl w:ilvl="1" w:tplc="ECC02592">
      <w:start w:val="1"/>
      <w:numFmt w:val="upperLetter"/>
      <w:lvlText w:val="%2."/>
      <w:lvlJc w:val="left"/>
      <w:pPr>
        <w:tabs>
          <w:tab w:val="num" w:pos="1440"/>
        </w:tabs>
        <w:ind w:left="1440" w:hanging="360"/>
      </w:pPr>
      <w:rPr>
        <w:rFonts w:hint="default"/>
        <w:b w:val="0"/>
      </w:r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263465B3"/>
    <w:multiLevelType w:val="hybridMultilevel"/>
    <w:tmpl w:val="E000E01E"/>
    <w:lvl w:ilvl="0" w:tplc="CEAE64C8">
      <w:start w:val="1"/>
      <w:numFmt w:val="lowerLetter"/>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 w15:restartNumberingAfterBreak="0">
    <w:nsid w:val="784A7FC0"/>
    <w:multiLevelType w:val="hybridMultilevel"/>
    <w:tmpl w:val="2EEEDB0E"/>
    <w:lvl w:ilvl="0" w:tplc="F1B203DA">
      <w:start w:val="1"/>
      <w:numFmt w:val="lowerLetter"/>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8A"/>
    <w:rsid w:val="0000218A"/>
    <w:rsid w:val="000331F1"/>
    <w:rsid w:val="008257D0"/>
    <w:rsid w:val="00985F61"/>
    <w:rsid w:val="009958B0"/>
    <w:rsid w:val="00C579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FCA79-AE51-4EE0-A5E7-FE645ADA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218A"/>
    <w:pPr>
      <w:spacing w:after="0" w:line="240" w:lineRule="auto"/>
    </w:pPr>
    <w:rPr>
      <w:rFonts w:ascii="Arial" w:eastAsia="Times New Roman" w:hAnsi="Arial" w:cs="Times New Roman"/>
      <w:snapToGrid w:val="0"/>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semiHidden/>
    <w:qFormat/>
    <w:rsid w:val="009958B0"/>
    <w:rPr>
      <w:sz w:val="24"/>
      <w:vertAlign w:val="superscript"/>
    </w:rPr>
  </w:style>
  <w:style w:type="paragraph" w:styleId="Textpoznmkypodiarou">
    <w:name w:val="footnote text"/>
    <w:basedOn w:val="Normlny"/>
    <w:link w:val="TextpoznmkypodiarouChar"/>
    <w:semiHidden/>
    <w:rsid w:val="0000218A"/>
    <w:rPr>
      <w:rFonts w:ascii="Times New Roman" w:hAnsi="Times New Roman"/>
      <w:sz w:val="20"/>
    </w:rPr>
  </w:style>
  <w:style w:type="character" w:customStyle="1" w:styleId="TextpoznmkypodiarouChar">
    <w:name w:val="Text poznámky pod čiarou Char"/>
    <w:basedOn w:val="Predvolenpsmoodseku"/>
    <w:link w:val="Textpoznmkypodiarou"/>
    <w:semiHidden/>
    <w:rsid w:val="0000218A"/>
    <w:rPr>
      <w:rFonts w:ascii="Times New Roman" w:eastAsia="Times New Roman" w:hAnsi="Times New Roman" w:cs="Times New Roman"/>
      <w:snapToGrid w:val="0"/>
      <w:sz w:val="20"/>
      <w:szCs w:val="20"/>
      <w:lang w:eastAsia="sk-SK"/>
    </w:rPr>
  </w:style>
  <w:style w:type="paragraph" w:styleId="Zkladntext2">
    <w:name w:val="Body Text 2"/>
    <w:basedOn w:val="Normlny"/>
    <w:link w:val="Zkladntext2Char"/>
    <w:semiHidden/>
    <w:rsid w:val="0000218A"/>
    <w:pPr>
      <w:tabs>
        <w:tab w:val="left" w:pos="-3060"/>
      </w:tabs>
      <w:jc w:val="both"/>
    </w:pPr>
    <w:rPr>
      <w:rFonts w:ascii="Times New Roman" w:hAnsi="Times New Roman"/>
    </w:rPr>
  </w:style>
  <w:style w:type="character" w:customStyle="1" w:styleId="Zkladntext2Char">
    <w:name w:val="Základný text 2 Char"/>
    <w:basedOn w:val="Predvolenpsmoodseku"/>
    <w:link w:val="Zkladntext2"/>
    <w:semiHidden/>
    <w:rsid w:val="0000218A"/>
    <w:rPr>
      <w:rFonts w:ascii="Times New Roman" w:eastAsia="Times New Roman" w:hAnsi="Times New Roman" w:cs="Times New Roman"/>
      <w:snapToGrid w:val="0"/>
      <w:sz w:val="24"/>
      <w:szCs w:val="20"/>
      <w:lang w:eastAsia="sk-SK"/>
    </w:rPr>
  </w:style>
  <w:style w:type="paragraph" w:styleId="Hlavika">
    <w:name w:val="header"/>
    <w:basedOn w:val="Normlny"/>
    <w:link w:val="HlavikaChar"/>
    <w:uiPriority w:val="99"/>
    <w:unhideWhenUsed/>
    <w:rsid w:val="0000218A"/>
    <w:pPr>
      <w:tabs>
        <w:tab w:val="center" w:pos="4536"/>
        <w:tab w:val="right" w:pos="9072"/>
      </w:tabs>
    </w:pPr>
  </w:style>
  <w:style w:type="character" w:customStyle="1" w:styleId="HlavikaChar">
    <w:name w:val="Hlavička Char"/>
    <w:basedOn w:val="Predvolenpsmoodseku"/>
    <w:link w:val="Hlavika"/>
    <w:uiPriority w:val="99"/>
    <w:rsid w:val="0000218A"/>
    <w:rPr>
      <w:rFonts w:ascii="Arial" w:eastAsia="Times New Roman" w:hAnsi="Arial" w:cs="Times New Roman"/>
      <w:snapToGrid w:val="0"/>
      <w:sz w:val="24"/>
      <w:szCs w:val="20"/>
      <w:lang w:eastAsia="sk-SK"/>
    </w:rPr>
  </w:style>
  <w:style w:type="paragraph" w:styleId="Pta">
    <w:name w:val="footer"/>
    <w:basedOn w:val="Normlny"/>
    <w:link w:val="PtaChar"/>
    <w:uiPriority w:val="99"/>
    <w:unhideWhenUsed/>
    <w:rsid w:val="0000218A"/>
    <w:pPr>
      <w:tabs>
        <w:tab w:val="center" w:pos="4536"/>
        <w:tab w:val="right" w:pos="9072"/>
      </w:tabs>
    </w:pPr>
  </w:style>
  <w:style w:type="character" w:customStyle="1" w:styleId="PtaChar">
    <w:name w:val="Päta Char"/>
    <w:basedOn w:val="Predvolenpsmoodseku"/>
    <w:link w:val="Pta"/>
    <w:uiPriority w:val="99"/>
    <w:rsid w:val="0000218A"/>
    <w:rPr>
      <w:rFonts w:ascii="Arial" w:eastAsia="Times New Roman" w:hAnsi="Arial" w:cs="Times New Roman"/>
      <w:snapToGrid w:val="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1617</Words>
  <Characters>9217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2015-11-23T14:10:00Z</dcterms:created>
  <dcterms:modified xsi:type="dcterms:W3CDTF">2015-11-23T14:22:00Z</dcterms:modified>
</cp:coreProperties>
</file>