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C8" w:rsidRPr="005940BE" w:rsidRDefault="00F6178F" w:rsidP="00065FB0">
      <w:pPr>
        <w:jc w:val="center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b/>
          <w:szCs w:val="24"/>
        </w:rPr>
        <w:t>Význam a miesto regionálnych organizácií pri výkone sankcií BR OSN podľa kapitoly VII (s osobitným zreteľom na Európsku úniu)</w:t>
      </w:r>
    </w:p>
    <w:p w:rsidR="00F6178F" w:rsidRPr="005940BE" w:rsidRDefault="00F6178F" w:rsidP="00065FB0">
      <w:pPr>
        <w:jc w:val="center"/>
        <w:rPr>
          <w:rFonts w:ascii="Garamond" w:hAnsi="Garamond"/>
          <w:b/>
          <w:szCs w:val="24"/>
        </w:rPr>
      </w:pPr>
    </w:p>
    <w:p w:rsidR="000E187A" w:rsidRPr="005940BE" w:rsidRDefault="000E187A" w:rsidP="00065FB0">
      <w:pPr>
        <w:jc w:val="center"/>
        <w:rPr>
          <w:rFonts w:ascii="Garamond" w:hAnsi="Garamond"/>
          <w:b/>
          <w:szCs w:val="24"/>
        </w:rPr>
      </w:pPr>
    </w:p>
    <w:p w:rsidR="00F6178F" w:rsidRPr="005940BE" w:rsidRDefault="00F6178F" w:rsidP="00065FB0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rPr>
          <w:rFonts w:ascii="Garamond" w:hAnsi="Garamond"/>
          <w:b/>
          <w:szCs w:val="24"/>
          <w:u w:val="single"/>
        </w:rPr>
      </w:pPr>
      <w:r w:rsidRPr="005940BE">
        <w:rPr>
          <w:rFonts w:ascii="Garamond" w:hAnsi="Garamond"/>
          <w:b/>
          <w:szCs w:val="24"/>
          <w:u w:val="single"/>
        </w:rPr>
        <w:t>Regionálne organizácie – základné vymedzenie v kontexte Charty OSN</w:t>
      </w:r>
    </w:p>
    <w:p w:rsidR="00F6178F" w:rsidRPr="005940BE" w:rsidRDefault="00F6178F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</w:p>
    <w:p w:rsidR="00F6178F" w:rsidRPr="005940BE" w:rsidRDefault="00F6178F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>Kapitola VIII Charty OSN hovorí o </w:t>
      </w:r>
      <w:r w:rsidRPr="005940BE">
        <w:rPr>
          <w:rFonts w:ascii="Garamond" w:hAnsi="Garamond"/>
          <w:b/>
          <w:szCs w:val="24"/>
        </w:rPr>
        <w:t xml:space="preserve">oblastných dohodách </w:t>
      </w:r>
      <w:r w:rsidRPr="005940BE">
        <w:rPr>
          <w:rFonts w:ascii="Garamond" w:hAnsi="Garamond"/>
          <w:szCs w:val="24"/>
        </w:rPr>
        <w:t>a </w:t>
      </w:r>
      <w:r w:rsidRPr="005940BE">
        <w:rPr>
          <w:rFonts w:ascii="Garamond" w:hAnsi="Garamond"/>
          <w:b/>
          <w:szCs w:val="24"/>
        </w:rPr>
        <w:t xml:space="preserve">orgánoch </w:t>
      </w:r>
      <w:r w:rsidRPr="005940BE">
        <w:rPr>
          <w:rFonts w:ascii="Garamond" w:hAnsi="Garamond"/>
          <w:szCs w:val="24"/>
        </w:rPr>
        <w:t xml:space="preserve">na riešenie otázok medzinárodného mieru a bezpečnosti, ktoré sú vhodné pre akcie </w:t>
      </w:r>
      <w:r w:rsidRPr="005940BE">
        <w:rPr>
          <w:rFonts w:ascii="Garamond" w:hAnsi="Garamond"/>
          <w:b/>
          <w:szCs w:val="24"/>
        </w:rPr>
        <w:t>oblastného (</w:t>
      </w:r>
      <w:r w:rsidRPr="005940BE">
        <w:rPr>
          <w:rFonts w:ascii="Garamond" w:hAnsi="Garamond"/>
          <w:szCs w:val="24"/>
        </w:rPr>
        <w:t>regionálneho</w:t>
      </w:r>
      <w:r w:rsidRPr="005940BE">
        <w:rPr>
          <w:rFonts w:ascii="Garamond" w:hAnsi="Garamond"/>
          <w:b/>
          <w:szCs w:val="24"/>
        </w:rPr>
        <w:t>) charakteru</w:t>
      </w:r>
      <w:r w:rsidRPr="005940BE">
        <w:rPr>
          <w:rFonts w:ascii="Garamond" w:hAnsi="Garamond"/>
          <w:szCs w:val="24"/>
        </w:rPr>
        <w:t xml:space="preserve">, za predpokladu, že takéto dohody a orgány a ich činnosť </w:t>
      </w:r>
      <w:r w:rsidRPr="005940BE">
        <w:rPr>
          <w:rFonts w:ascii="Garamond" w:hAnsi="Garamond"/>
          <w:b/>
          <w:szCs w:val="24"/>
        </w:rPr>
        <w:t>sú zlučiteľné s cieľmi a zásadami OSN (</w:t>
      </w:r>
      <w:r w:rsidRPr="005940BE">
        <w:rPr>
          <w:rFonts w:ascii="Garamond" w:hAnsi="Garamond"/>
          <w:szCs w:val="24"/>
        </w:rPr>
        <w:t>pozri Preambulu ako aj článok 1 a 2 Charty OSN</w:t>
      </w:r>
      <w:r w:rsidRPr="005940BE">
        <w:rPr>
          <w:rFonts w:ascii="Garamond" w:hAnsi="Garamond"/>
          <w:b/>
          <w:szCs w:val="24"/>
        </w:rPr>
        <w:t>)</w:t>
      </w:r>
      <w:r w:rsidRPr="005940BE">
        <w:rPr>
          <w:rFonts w:ascii="Garamond" w:hAnsi="Garamond"/>
          <w:szCs w:val="24"/>
        </w:rPr>
        <w:t>.</w:t>
      </w:r>
    </w:p>
    <w:p w:rsidR="00F6178F" w:rsidRPr="005940BE" w:rsidRDefault="00F6178F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</w:p>
    <w:p w:rsidR="00F6178F" w:rsidRPr="005940BE" w:rsidRDefault="00F6178F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b/>
          <w:szCs w:val="24"/>
        </w:rPr>
        <w:t xml:space="preserve">Článok 53 Charty OSN: </w:t>
      </w:r>
      <w:r w:rsidRPr="005940BE">
        <w:rPr>
          <w:rFonts w:ascii="Garamond" w:hAnsi="Garamond"/>
          <w:szCs w:val="24"/>
        </w:rPr>
        <w:t xml:space="preserve">Použiteľnosť oblastných dohôd a orgánov </w:t>
      </w:r>
      <w:r w:rsidRPr="005940BE">
        <w:rPr>
          <w:rFonts w:ascii="Garamond" w:hAnsi="Garamond"/>
          <w:b/>
          <w:szCs w:val="24"/>
        </w:rPr>
        <w:t xml:space="preserve">Bezpečnostnou radou </w:t>
      </w:r>
      <w:r w:rsidRPr="005940BE">
        <w:rPr>
          <w:rFonts w:ascii="Garamond" w:hAnsi="Garamond"/>
          <w:szCs w:val="24"/>
        </w:rPr>
        <w:t xml:space="preserve">na donucovacie akcie. Splnomocnenie BR OSN je </w:t>
      </w:r>
      <w:r w:rsidRPr="005940BE">
        <w:rPr>
          <w:rFonts w:ascii="Garamond" w:hAnsi="Garamond"/>
          <w:b/>
          <w:szCs w:val="24"/>
        </w:rPr>
        <w:t>obligatórne</w:t>
      </w:r>
      <w:r w:rsidRPr="005940BE">
        <w:rPr>
          <w:rFonts w:ascii="Garamond" w:hAnsi="Garamond"/>
          <w:szCs w:val="24"/>
        </w:rPr>
        <w:t>. Charta OSN predp</w:t>
      </w:r>
      <w:r w:rsidR="00E91F65" w:rsidRPr="005940BE">
        <w:rPr>
          <w:rFonts w:ascii="Garamond" w:hAnsi="Garamond"/>
          <w:szCs w:val="24"/>
        </w:rPr>
        <w:t xml:space="preserve">okladá, vzájomnú informovanosť </w:t>
      </w:r>
      <w:r w:rsidRPr="005940BE">
        <w:rPr>
          <w:rFonts w:ascii="Garamond" w:hAnsi="Garamond"/>
          <w:szCs w:val="24"/>
        </w:rPr>
        <w:t>medzi regionálnymi dohodami/orgánmi a</w:t>
      </w:r>
      <w:r w:rsidR="00E91F65" w:rsidRPr="005940BE">
        <w:rPr>
          <w:rFonts w:ascii="Garamond" w:hAnsi="Garamond"/>
          <w:szCs w:val="24"/>
        </w:rPr>
        <w:t> </w:t>
      </w:r>
      <w:r w:rsidRPr="005940BE">
        <w:rPr>
          <w:rFonts w:ascii="Garamond" w:hAnsi="Garamond"/>
          <w:szCs w:val="24"/>
        </w:rPr>
        <w:t>OSN</w:t>
      </w:r>
      <w:r w:rsidR="00E91F65" w:rsidRPr="005940BE">
        <w:rPr>
          <w:rFonts w:ascii="Garamond" w:hAnsi="Garamond"/>
          <w:szCs w:val="24"/>
        </w:rPr>
        <w:t xml:space="preserve"> (článok 54 Charty)</w:t>
      </w:r>
      <w:r w:rsidRPr="005940BE">
        <w:rPr>
          <w:rFonts w:ascii="Garamond" w:hAnsi="Garamond"/>
          <w:szCs w:val="24"/>
        </w:rPr>
        <w:t>.</w:t>
      </w:r>
    </w:p>
    <w:p w:rsidR="00E91F65" w:rsidRPr="005940BE" w:rsidRDefault="00E91F65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</w:p>
    <w:p w:rsidR="00E91F65" w:rsidRPr="005940BE" w:rsidRDefault="00E91F65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>Charta OSN predpokladá podriadenosť regionálnych organizácií Bezpečnostnej rade.</w:t>
      </w:r>
    </w:p>
    <w:p w:rsidR="00E91F65" w:rsidRDefault="00E91F65" w:rsidP="00065FB0">
      <w:pPr>
        <w:pStyle w:val="Odsekzoznamu"/>
        <w:tabs>
          <w:tab w:val="left" w:pos="284"/>
        </w:tabs>
        <w:ind w:left="0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szCs w:val="24"/>
        </w:rPr>
        <w:t xml:space="preserve">Možnosť iniciatívneho postupu regionálnej organizácie </w:t>
      </w:r>
      <w:r w:rsidR="008A1D7F">
        <w:rPr>
          <w:rFonts w:ascii="Garamond" w:hAnsi="Garamond"/>
          <w:szCs w:val="24"/>
        </w:rPr>
        <w:t xml:space="preserve">je otázna </w:t>
      </w:r>
      <w:r w:rsidRPr="005940BE">
        <w:rPr>
          <w:rFonts w:ascii="Garamond" w:hAnsi="Garamond"/>
          <w:szCs w:val="24"/>
        </w:rPr>
        <w:t xml:space="preserve">– </w:t>
      </w:r>
      <w:r w:rsidR="008A1D7F">
        <w:rPr>
          <w:rFonts w:ascii="Garamond" w:hAnsi="Garamond"/>
          <w:szCs w:val="24"/>
        </w:rPr>
        <w:t xml:space="preserve">v praxi sa môže uplatniť </w:t>
      </w:r>
      <w:r w:rsidRPr="005940BE">
        <w:rPr>
          <w:rFonts w:ascii="Garamond" w:hAnsi="Garamond"/>
          <w:b/>
          <w:szCs w:val="24"/>
        </w:rPr>
        <w:t>v prípade neakcieschopnosti Bezpečnostnej rady.</w:t>
      </w:r>
    </w:p>
    <w:p w:rsidR="008A1D7F" w:rsidRDefault="008A1D7F" w:rsidP="00065FB0">
      <w:pPr>
        <w:pStyle w:val="Odsekzoznamu"/>
        <w:tabs>
          <w:tab w:val="left" w:pos="284"/>
        </w:tabs>
        <w:ind w:left="0"/>
        <w:rPr>
          <w:rFonts w:ascii="Garamond" w:hAnsi="Garamond"/>
          <w:b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Problémom je oprávnenie na intervenciu regionálnej organizácie v rámci </w:t>
      </w:r>
      <w:r>
        <w:rPr>
          <w:rFonts w:ascii="Garamond" w:hAnsi="Garamond"/>
          <w:bCs/>
          <w:i/>
          <w:szCs w:val="24"/>
        </w:rPr>
        <w:t xml:space="preserve">svojho </w:t>
      </w:r>
      <w:r w:rsidRPr="005940BE">
        <w:rPr>
          <w:rFonts w:ascii="Garamond" w:hAnsi="Garamond"/>
          <w:bCs/>
          <w:szCs w:val="24"/>
        </w:rPr>
        <w:t xml:space="preserve">regiónu. Možno pripomenúť, že operácie ECOWAS v Libérií a Sierra Leone, ktoré sa začali bez autorizácie Bezpečnostnej rady, začali na podnet prezidentov týchto krajín, pričom autorizácia BR OSN prišla až </w:t>
      </w:r>
      <w:r w:rsidRPr="005940BE">
        <w:rPr>
          <w:rFonts w:ascii="Garamond" w:hAnsi="Garamond"/>
          <w:bCs/>
          <w:i/>
          <w:szCs w:val="24"/>
        </w:rPr>
        <w:t>ex post</w:t>
      </w:r>
      <w:r w:rsidRPr="005940BE">
        <w:rPr>
          <w:rFonts w:ascii="Garamond" w:hAnsi="Garamond"/>
          <w:bCs/>
          <w:szCs w:val="24"/>
        </w:rPr>
        <w:t xml:space="preserve">. Obdobne aj v roku 2012 počas eskalácie krízy v Mali boli sily štátov ECOWAS nasadené na žiadosť vlády (ECOWAS následne žiadalo o autorizáciu OSN).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/>
          <w:bCs/>
          <w:szCs w:val="24"/>
        </w:rPr>
      </w:pPr>
    </w:p>
    <w:p w:rsidR="00E91F65" w:rsidRDefault="00E91F65" w:rsidP="008A1D7F">
      <w:pPr>
        <w:pStyle w:val="Odsekzoznamu"/>
        <w:numPr>
          <w:ilvl w:val="0"/>
          <w:numId w:val="1"/>
        </w:numPr>
        <w:tabs>
          <w:tab w:val="left" w:pos="284"/>
        </w:tabs>
        <w:rPr>
          <w:rFonts w:ascii="Garamond" w:hAnsi="Garamond"/>
          <w:b/>
          <w:szCs w:val="24"/>
          <w:u w:val="single"/>
        </w:rPr>
      </w:pPr>
      <w:r w:rsidRPr="008A1D7F">
        <w:rPr>
          <w:rFonts w:ascii="Garamond" w:hAnsi="Garamond"/>
          <w:b/>
          <w:szCs w:val="24"/>
          <w:u w:val="single"/>
        </w:rPr>
        <w:t>Výkon opatrení podľa článku 41 Charty (</w:t>
      </w:r>
      <w:r w:rsidR="00AA60FA" w:rsidRPr="008A1D7F">
        <w:rPr>
          <w:rFonts w:ascii="Garamond" w:hAnsi="Garamond"/>
          <w:b/>
          <w:szCs w:val="24"/>
          <w:u w:val="single"/>
        </w:rPr>
        <w:t>opatrenia bez použitia sily)</w:t>
      </w:r>
    </w:p>
    <w:p w:rsidR="008A1D7F" w:rsidRPr="008A1D7F" w:rsidRDefault="008A1D7F" w:rsidP="008A1D7F">
      <w:pPr>
        <w:pStyle w:val="Odsekzoznamu"/>
        <w:tabs>
          <w:tab w:val="left" w:pos="284"/>
        </w:tabs>
        <w:rPr>
          <w:rFonts w:ascii="Garamond" w:hAnsi="Garamond"/>
          <w:b/>
          <w:szCs w:val="24"/>
          <w:u w:val="single"/>
        </w:rPr>
      </w:pPr>
    </w:p>
    <w:p w:rsidR="00AA60FA" w:rsidRPr="005940BE" w:rsidRDefault="00AA60FA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 xml:space="preserve">Opatrenia podľa článku 41 zahŕňajú rôzne formy zásahov – Charta OSN demonštratívne vymedzuje </w:t>
      </w:r>
      <w:r w:rsidR="008403A2" w:rsidRPr="005940BE">
        <w:rPr>
          <w:rFonts w:ascii="Garamond" w:hAnsi="Garamond"/>
          <w:szCs w:val="24"/>
        </w:rPr>
        <w:t xml:space="preserve">najmä </w:t>
      </w:r>
      <w:r w:rsidR="008403A2" w:rsidRPr="005940BE">
        <w:rPr>
          <w:rFonts w:ascii="Garamond" w:hAnsi="Garamond"/>
          <w:b/>
          <w:szCs w:val="24"/>
        </w:rPr>
        <w:t>prerušenie hospodárskych stykov</w:t>
      </w:r>
      <w:r w:rsidR="008403A2" w:rsidRPr="005940BE">
        <w:rPr>
          <w:rFonts w:ascii="Garamond" w:hAnsi="Garamond"/>
          <w:szCs w:val="24"/>
        </w:rPr>
        <w:t xml:space="preserve">, prerušenie spojov, či prerušenie diplomatických stykov. Do tejto kategórie možno zaradiť aj </w:t>
      </w:r>
      <w:r w:rsidR="008403A2" w:rsidRPr="005940BE">
        <w:rPr>
          <w:rFonts w:ascii="Garamond" w:hAnsi="Garamond"/>
          <w:b/>
          <w:szCs w:val="24"/>
        </w:rPr>
        <w:t>cielené (</w:t>
      </w:r>
      <w:r w:rsidR="008403A2" w:rsidRPr="005940BE">
        <w:rPr>
          <w:rFonts w:ascii="Garamond" w:hAnsi="Garamond"/>
          <w:b/>
          <w:i/>
          <w:szCs w:val="24"/>
        </w:rPr>
        <w:t>targeted</w:t>
      </w:r>
      <w:r w:rsidR="008403A2" w:rsidRPr="005940BE">
        <w:rPr>
          <w:rFonts w:ascii="Garamond" w:hAnsi="Garamond"/>
          <w:b/>
          <w:szCs w:val="24"/>
        </w:rPr>
        <w:t>)</w:t>
      </w:r>
      <w:r w:rsidR="008403A2" w:rsidRPr="005940BE">
        <w:rPr>
          <w:rFonts w:ascii="Garamond" w:hAnsi="Garamond"/>
          <w:szCs w:val="24"/>
        </w:rPr>
        <w:t>, resp. intelegentné (</w:t>
      </w:r>
      <w:r w:rsidR="008403A2" w:rsidRPr="005940BE">
        <w:rPr>
          <w:rFonts w:ascii="Garamond" w:hAnsi="Garamond"/>
          <w:i/>
          <w:szCs w:val="24"/>
        </w:rPr>
        <w:t>smart</w:t>
      </w:r>
      <w:r w:rsidR="008403A2" w:rsidRPr="005940BE">
        <w:rPr>
          <w:rFonts w:ascii="Garamond" w:hAnsi="Garamond"/>
          <w:szCs w:val="24"/>
        </w:rPr>
        <w:t>) sankcie.</w:t>
      </w:r>
    </w:p>
    <w:p w:rsidR="00807E19" w:rsidRPr="005940BE" w:rsidRDefault="00807E19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 xml:space="preserve">Ide o druh sankcií, ktoré sú namierené proti konkrétnym osobám – teda vládnym činiteľom, právnickým či fyzickým osobám, ktoré sú napojené na režimy, ktoré sú adresátom sankcií, prípadne finančne či inak podporujú režimy, ktoré svojou politikou ohrozujú medzinárodný mier a bezpečnosť. To platí osobitne o osobách napojených na </w:t>
      </w:r>
      <w:r w:rsidRPr="005940BE">
        <w:rPr>
          <w:rFonts w:ascii="Garamond" w:hAnsi="Garamond"/>
          <w:b/>
          <w:szCs w:val="24"/>
        </w:rPr>
        <w:t>siete medzinárodného terorizmu</w:t>
      </w:r>
      <w:r w:rsidRPr="005940BE">
        <w:rPr>
          <w:rFonts w:ascii="Garamond" w:hAnsi="Garamond"/>
          <w:szCs w:val="24"/>
        </w:rPr>
        <w:t>.</w:t>
      </w:r>
      <w:r w:rsidRPr="005940BE">
        <w:rPr>
          <w:rStyle w:val="Odkaznapoznmkupodiarou"/>
          <w:rFonts w:ascii="Garamond" w:hAnsi="Garamond"/>
          <w:szCs w:val="24"/>
        </w:rPr>
        <w:footnoteReference w:id="1"/>
      </w:r>
    </w:p>
    <w:p w:rsidR="00A145E0" w:rsidRDefault="00A145E0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</w:p>
    <w:p w:rsidR="008A1D7F" w:rsidRPr="005940BE" w:rsidRDefault="008A1D7F" w:rsidP="008A1D7F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rFonts w:ascii="Garamond" w:hAnsi="Garamond"/>
          <w:b/>
          <w:bCs/>
          <w:szCs w:val="24"/>
          <w:u w:val="single"/>
        </w:rPr>
      </w:pPr>
      <w:r w:rsidRPr="005940BE">
        <w:rPr>
          <w:rFonts w:ascii="Garamond" w:hAnsi="Garamond"/>
          <w:b/>
          <w:bCs/>
          <w:szCs w:val="24"/>
          <w:u w:val="single"/>
        </w:rPr>
        <w:t>Opatrenia podľa článku 42 Charty OSN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Opatrenia podľa článku 42 Charty OSN sú prijímané v momente, ak by opatrenia podľa článku 41 neboli dostatočne účinné a zahŕňajú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Základným východiskom medzinárodnej úpravy udržania medzinárodného mieru a bezpečnosti je výsadné postavenie Bezpečnostnej rady OSN v systéme medzinárodnej bezpečnosti.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lastRenderedPageBreak/>
        <w:t xml:space="preserve">Čo sa týka medzinárodnej bezpečnosti, aktivity regionálnych zoskupení, pozorujeme vo zvýšenej miere </w:t>
      </w:r>
      <w:r w:rsidRPr="005940BE">
        <w:rPr>
          <w:rFonts w:ascii="Garamond" w:hAnsi="Garamond"/>
          <w:b/>
          <w:bCs/>
          <w:szCs w:val="24"/>
        </w:rPr>
        <w:t>od druhej polovice deväťdesiatych rokov minulého storočia</w:t>
      </w:r>
      <w:r w:rsidRPr="005940BE">
        <w:rPr>
          <w:rFonts w:ascii="Garamond" w:hAnsi="Garamond"/>
          <w:bCs/>
          <w:szCs w:val="24"/>
        </w:rPr>
        <w:t>.</w:t>
      </w:r>
      <w:r w:rsidRPr="005940BE">
        <w:rPr>
          <w:rFonts w:ascii="Garamond" w:hAnsi="Garamond"/>
          <w:bCs/>
          <w:szCs w:val="24"/>
          <w:vertAlign w:val="superscript"/>
        </w:rPr>
        <w:footnoteReference w:id="2"/>
      </w:r>
      <w:r w:rsidRPr="005940BE">
        <w:rPr>
          <w:rFonts w:ascii="Garamond" w:hAnsi="Garamond"/>
          <w:bCs/>
          <w:szCs w:val="24"/>
        </w:rPr>
        <w:t xml:space="preserve">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Príklon k regionalizácií v bezpečnostných otázkach nie je na medzinárodnej scéne úplne nový. Medzinárodné spoločenstvo však pri vytváraní OSN, koncom 2. svetovej vojny naznačilo vôľu túto oblasť centralizovať. Vývoj v období Studenej vojny a najmä po jej skončení, odlišný charakter konfliktov a nové hrozby na medzinárodnej scéne vytvorili prostredie v ktorom je pôsobenie regionálnych organizácií vítané a požadované</w:t>
      </w:r>
      <w:r w:rsidRPr="005940BE">
        <w:rPr>
          <w:rFonts w:ascii="Garamond" w:hAnsi="Garamond"/>
          <w:bCs/>
          <w:szCs w:val="24"/>
          <w:vertAlign w:val="superscript"/>
        </w:rPr>
        <w:footnoteReference w:id="3"/>
      </w:r>
      <w:r w:rsidRPr="005940BE">
        <w:rPr>
          <w:rFonts w:ascii="Garamond" w:hAnsi="Garamond"/>
          <w:bCs/>
          <w:szCs w:val="24"/>
        </w:rPr>
        <w:t xml:space="preserve"> – </w:t>
      </w:r>
      <w:r w:rsidRPr="005940BE">
        <w:rPr>
          <w:rFonts w:ascii="Garamond" w:hAnsi="Garamond"/>
          <w:b/>
          <w:bCs/>
          <w:szCs w:val="24"/>
        </w:rPr>
        <w:t>najmä kvôli prevažovaniu vnútorných konfliktov a tzv. „anarchických konfliktov</w:t>
      </w:r>
      <w:r w:rsidRPr="005940BE">
        <w:rPr>
          <w:rFonts w:ascii="Garamond" w:hAnsi="Garamond"/>
          <w:bCs/>
          <w:szCs w:val="24"/>
        </w:rPr>
        <w:t>.</w:t>
      </w:r>
      <w:r w:rsidRPr="005940BE">
        <w:rPr>
          <w:rStyle w:val="Odkaznapoznmkupodiarou"/>
          <w:rFonts w:ascii="Garamond" w:hAnsi="Garamond"/>
          <w:bCs/>
          <w:szCs w:val="24"/>
        </w:rPr>
        <w:footnoteReference w:id="4"/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/>
          <w:bCs/>
          <w:szCs w:val="24"/>
        </w:rPr>
        <w:t xml:space="preserve">Pojem kolektívna bezpečnosť </w:t>
      </w:r>
      <w:r w:rsidRPr="005940BE">
        <w:rPr>
          <w:rFonts w:ascii="Garamond" w:hAnsi="Garamond"/>
          <w:bCs/>
          <w:szCs w:val="24"/>
        </w:rPr>
        <w:t xml:space="preserve">je širší ako pojem </w:t>
      </w:r>
      <w:r w:rsidRPr="005940BE">
        <w:rPr>
          <w:rFonts w:ascii="Garamond" w:hAnsi="Garamond"/>
          <w:b/>
          <w:bCs/>
          <w:szCs w:val="24"/>
        </w:rPr>
        <w:t xml:space="preserve">sebaobrany – </w:t>
      </w:r>
      <w:r w:rsidRPr="005940BE">
        <w:rPr>
          <w:rFonts w:ascii="Garamond" w:hAnsi="Garamond"/>
          <w:bCs/>
          <w:szCs w:val="24"/>
        </w:rPr>
        <w:t xml:space="preserve">nezahrňuje </w:t>
      </w:r>
      <w:r w:rsidRPr="005940BE">
        <w:rPr>
          <w:rFonts w:ascii="Garamond" w:hAnsi="Garamond"/>
          <w:b/>
          <w:bCs/>
          <w:szCs w:val="24"/>
        </w:rPr>
        <w:t>iba sebaobranu ale bezpečnosť ako takú</w:t>
      </w:r>
      <w:r w:rsidRPr="005940BE">
        <w:rPr>
          <w:rFonts w:ascii="Garamond" w:hAnsi="Garamond"/>
          <w:bCs/>
          <w:szCs w:val="24"/>
        </w:rPr>
        <w:t xml:space="preserve">.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Nevyhnutnou je potreba vytvárania organizácií v rámci regiónov. V Afrike možno napríklad pozorovať  modelovú situáciu vo vzťahu regionálnej organizácie (AU), ktorá sa vymedzuje ako nositeľ primárnej zodpovednosti za bezpečnosť na africkom kontinente a subregionálnej organizácie v úzkej súčinnosti s OSN.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Na druhej strane existuje subregionálna organizácia (ECOWAS), ktorá vytvára bezpečnostné štruktúry a zároveň deklaruje, súčinnosť tak s AU ako aj s OSN.</w:t>
      </w:r>
      <w:r w:rsidRPr="005940BE">
        <w:rPr>
          <w:rFonts w:ascii="Garamond" w:hAnsi="Garamond"/>
          <w:bCs/>
          <w:szCs w:val="24"/>
          <w:vertAlign w:val="superscript"/>
        </w:rPr>
        <w:footnoteReference w:id="5"/>
      </w:r>
      <w:r w:rsidRPr="005940BE">
        <w:rPr>
          <w:rFonts w:ascii="Garamond" w:hAnsi="Garamond"/>
          <w:bCs/>
          <w:szCs w:val="24"/>
        </w:rPr>
        <w:t xml:space="preserve">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Osobitným aspektom je pôsobenie regionálnej organizácie mimo</w:t>
      </w:r>
      <w:r w:rsidRPr="005940BE">
        <w:rPr>
          <w:rFonts w:ascii="Garamond" w:hAnsi="Garamond"/>
          <w:bCs/>
          <w:i/>
          <w:szCs w:val="24"/>
        </w:rPr>
        <w:t xml:space="preserve"> </w:t>
      </w:r>
      <w:r w:rsidRPr="005940BE">
        <w:rPr>
          <w:rFonts w:ascii="Garamond" w:hAnsi="Garamond"/>
          <w:bCs/>
          <w:szCs w:val="24"/>
        </w:rPr>
        <w:t xml:space="preserve">regiónu v ktorom pôsobí. Kapitola VIII nijakým spôsobom neobmedzuje </w:t>
      </w:r>
      <w:r w:rsidRPr="005940BE">
        <w:rPr>
          <w:rFonts w:ascii="Garamond" w:hAnsi="Garamond"/>
          <w:b/>
          <w:bCs/>
          <w:szCs w:val="24"/>
        </w:rPr>
        <w:t>Bezpečnostnú radu v tom zmysle, že by bola oprávnená použiť oblastné orgány len v rámci regiónu v ktorom pôsobia</w:t>
      </w:r>
      <w:r w:rsidRPr="005940BE">
        <w:rPr>
          <w:rFonts w:ascii="Garamond" w:hAnsi="Garamond"/>
          <w:bCs/>
          <w:szCs w:val="24"/>
        </w:rPr>
        <w:t xml:space="preserve">. Ako príklad sa ponúka Európska únia, ktorá na základe mandátu OSN (a niekedy aj bez neho, pokiaľ ide o misie, ktoré nemajú intervenčný charakter – ak ide o misie charakter </w:t>
      </w:r>
      <w:r w:rsidRPr="005940BE">
        <w:rPr>
          <w:rFonts w:ascii="Garamond" w:hAnsi="Garamond"/>
          <w:bCs/>
          <w:i/>
          <w:szCs w:val="24"/>
        </w:rPr>
        <w:t xml:space="preserve">peacemaking </w:t>
      </w:r>
      <w:r w:rsidRPr="005940BE">
        <w:rPr>
          <w:rFonts w:ascii="Garamond" w:hAnsi="Garamond"/>
          <w:bCs/>
          <w:szCs w:val="24"/>
        </w:rPr>
        <w:t xml:space="preserve">a </w:t>
      </w:r>
      <w:r w:rsidRPr="005940BE">
        <w:rPr>
          <w:rFonts w:ascii="Garamond" w:hAnsi="Garamond"/>
          <w:bCs/>
          <w:i/>
          <w:szCs w:val="24"/>
        </w:rPr>
        <w:t>peacebuilding</w:t>
      </w:r>
      <w:r w:rsidRPr="005940BE">
        <w:rPr>
          <w:rFonts w:ascii="Garamond" w:hAnsi="Garamond"/>
          <w:bCs/>
          <w:szCs w:val="24"/>
        </w:rPr>
        <w:t xml:space="preserve">), pôsobí v rámci svojej zahraničnej a bezpečnostnej politiky (v jej rámci bezpečnostnej a obrannej politiky) aj </w:t>
      </w:r>
      <w:r w:rsidRPr="005940BE">
        <w:rPr>
          <w:rFonts w:ascii="Garamond" w:hAnsi="Garamond"/>
          <w:b/>
          <w:bCs/>
          <w:szCs w:val="24"/>
        </w:rPr>
        <w:t>mimo európskeho kontinentu</w:t>
      </w:r>
      <w:r w:rsidRPr="005940BE">
        <w:rPr>
          <w:rFonts w:ascii="Garamond" w:hAnsi="Garamond"/>
          <w:bCs/>
          <w:szCs w:val="24"/>
        </w:rPr>
        <w:t>.</w:t>
      </w:r>
      <w:r w:rsidRPr="005940BE">
        <w:rPr>
          <w:rFonts w:ascii="Garamond" w:hAnsi="Garamond"/>
          <w:bCs/>
          <w:szCs w:val="24"/>
          <w:vertAlign w:val="superscript"/>
        </w:rPr>
        <w:footnoteReference w:id="6"/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Z praxe BR OSN možno vypozorovať snahu o vytváranie rôznych platforiem spolupráce a snahu o koordináciu úsilia pri presadzovaní mieru. Možno spomenút napríklad Komisiu OSN pre budovanie mieru, prípadne vytvorenie Rámca AU pre post konfliktnú rekonštrukciu a rozvoj (PCRD – </w:t>
      </w:r>
      <w:r w:rsidRPr="005940BE">
        <w:rPr>
          <w:rFonts w:ascii="Garamond" w:hAnsi="Garamond"/>
          <w:bCs/>
          <w:i/>
          <w:szCs w:val="24"/>
        </w:rPr>
        <w:t>The AU Post-Conflict Reconstruction and Development Framework</w:t>
      </w:r>
      <w:r w:rsidRPr="005940BE">
        <w:rPr>
          <w:rFonts w:ascii="Garamond" w:hAnsi="Garamond"/>
          <w:bCs/>
          <w:szCs w:val="24"/>
        </w:rPr>
        <w:t>) a Rámca ECOWAS pre prevenciu konflitkov (</w:t>
      </w:r>
      <w:r w:rsidRPr="005940BE">
        <w:rPr>
          <w:rFonts w:ascii="Garamond" w:hAnsi="Garamond"/>
          <w:bCs/>
          <w:i/>
          <w:szCs w:val="24"/>
        </w:rPr>
        <w:t>ECPF – ECOWAS Conflict Prevention Framerwork</w:t>
      </w:r>
      <w:r w:rsidRPr="005940BE">
        <w:rPr>
          <w:rFonts w:ascii="Garamond" w:hAnsi="Garamond"/>
          <w:bCs/>
          <w:szCs w:val="24"/>
        </w:rPr>
        <w:t xml:space="preserve">). Táto snaha sa následne pretavuje do aktivít zahrňajúcich spoločné pôsobenie v problematických oblastiach, ktoré sa rozvíjajú viac či menej úspešne.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/>
          <w:bCs/>
          <w:szCs w:val="24"/>
        </w:rPr>
      </w:pPr>
      <w:r w:rsidRPr="005940BE">
        <w:rPr>
          <w:rFonts w:ascii="Garamond" w:hAnsi="Garamond"/>
          <w:b/>
          <w:bCs/>
          <w:szCs w:val="24"/>
        </w:rPr>
        <w:t>Ako príklady možno spomenúť:</w:t>
      </w:r>
    </w:p>
    <w:p w:rsidR="008A1D7F" w:rsidRPr="005940BE" w:rsidRDefault="008A1D7F" w:rsidP="008A1D7F">
      <w:pPr>
        <w:pStyle w:val="Odsekzoznamu"/>
        <w:numPr>
          <w:ilvl w:val="0"/>
          <w:numId w:val="3"/>
        </w:numPr>
        <w:tabs>
          <w:tab w:val="left" w:pos="284"/>
        </w:tabs>
        <w:ind w:left="284" w:hanging="284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spoločnú misiu OSN a AU v Darfúre (UNAMID)</w:t>
      </w:r>
    </w:p>
    <w:p w:rsidR="008A1D7F" w:rsidRPr="005940BE" w:rsidRDefault="008A1D7F" w:rsidP="008A1D7F">
      <w:pPr>
        <w:pStyle w:val="Odsekzoznamu"/>
        <w:numPr>
          <w:ilvl w:val="0"/>
          <w:numId w:val="3"/>
        </w:numPr>
        <w:tabs>
          <w:tab w:val="left" w:pos="284"/>
        </w:tabs>
        <w:ind w:left="284" w:hanging="284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prechod Medzinárodnej podpornej misie v Mali (AFISMA) pod kontrolu OSN (</w:t>
      </w:r>
      <w:r w:rsidRPr="005940BE">
        <w:rPr>
          <w:rFonts w:ascii="Garamond" w:hAnsi="Garamond"/>
          <w:bCs/>
          <w:i/>
          <w:szCs w:val="24"/>
        </w:rPr>
        <w:t xml:space="preserve">peacekeeping </w:t>
      </w:r>
      <w:r w:rsidRPr="005940BE">
        <w:rPr>
          <w:rFonts w:ascii="Garamond" w:hAnsi="Garamond"/>
          <w:bCs/>
          <w:szCs w:val="24"/>
        </w:rPr>
        <w:t>operácia MINUSMA - Zmena autority sa udiala 1. júla 2013, avšak pri zachovaní silnej prítomnosti regionálnej organizácie ECOWAS. Pozri bližšie Rezolúciu Bezpečnostnej rady OSN, S/RES/2100 (2013) z 25. apríla 2013.),</w:t>
      </w:r>
    </w:p>
    <w:p w:rsidR="008A1D7F" w:rsidRPr="005940BE" w:rsidRDefault="008A1D7F" w:rsidP="008A1D7F">
      <w:pPr>
        <w:pStyle w:val="Odsekzoznamu"/>
        <w:numPr>
          <w:ilvl w:val="0"/>
          <w:numId w:val="3"/>
        </w:numPr>
        <w:tabs>
          <w:tab w:val="left" w:pos="284"/>
        </w:tabs>
        <w:ind w:left="284" w:hanging="284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angažovanie sa juhoamerického spoločenstva UNASUR v karibskom Haiti v rámci misie MINUSTAH a.p.</w:t>
      </w:r>
    </w:p>
    <w:p w:rsidR="008A1D7F" w:rsidRPr="005940BE" w:rsidRDefault="008A1D7F" w:rsidP="008A1D7F">
      <w:pPr>
        <w:pStyle w:val="Odsekzoznamu"/>
        <w:tabs>
          <w:tab w:val="left" w:pos="284"/>
        </w:tabs>
        <w:ind w:left="284"/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Charta OSN vychádza z premisy výsadného postavenia Bezpečnostnej rady, súčasné potreby poukazujú na akceptovanie interdependencie univerzálnej a regionálnych organizácií, kde OSN nie je schopná sama osebe plniť svoj cieľ presadzovania mieru, no na strane druhej, samotné regionálne štruktúry spolupracujú s OSN vo viacerých oblastiach. Aj napriek dlhodobo známym výhodám, s ktorými sa nasadenie regionálnych organizácií spája, je pre tieto organizácie nevyhnutné obracať sa na vyššiu platformu medzinárodnej spolupráce jednak s ohľadom na potrebné zdroje, ako aj personál a požadovanú odbornosť. 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Agenda pre mier vyjadril Boutrous Boutrous Ghali:</w:t>
      </w:r>
    </w:p>
    <w:p w:rsidR="008A1D7F" w:rsidRPr="005940BE" w:rsidRDefault="008A1D7F" w:rsidP="008A1D7F">
      <w:pPr>
        <w:tabs>
          <w:tab w:val="left" w:pos="284"/>
        </w:tabs>
        <w:rPr>
          <w:rFonts w:ascii="Garamond" w:hAnsi="Garamond"/>
          <w:bCs/>
          <w:i/>
          <w:szCs w:val="24"/>
        </w:rPr>
      </w:pPr>
      <w:r w:rsidRPr="005940BE">
        <w:rPr>
          <w:rFonts w:ascii="Garamond" w:hAnsi="Garamond"/>
          <w:bCs/>
          <w:i/>
          <w:szCs w:val="24"/>
        </w:rPr>
        <w:t>„V zmysle Charty, Bezpečnostná rada má a vždy bude mať primárnu zodpovednosť za udržanie medzinárodného mieru a bezpečnosti, ale regionálne akcia ako prejav decentralizácie, delegácie a spolupráce s OSN, nie je iba uľahčením bremena, ktoré nesie Bezpečnostná rada, ale prispieva tiež k hlbšej spolupráci, konsenzu a demokratizácii v medzinárodných záležitostiach.“</w:t>
      </w:r>
      <w:r w:rsidRPr="005940BE">
        <w:rPr>
          <w:rFonts w:ascii="Garamond" w:hAnsi="Garamond"/>
          <w:bCs/>
          <w:i/>
          <w:szCs w:val="24"/>
          <w:vertAlign w:val="superscript"/>
        </w:rPr>
        <w:footnoteReference w:id="7"/>
      </w:r>
    </w:p>
    <w:p w:rsidR="008A1D7F" w:rsidRPr="005940BE" w:rsidRDefault="008A1D7F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</w:p>
    <w:p w:rsidR="00A145E0" w:rsidRPr="005940BE" w:rsidRDefault="00A145E0" w:rsidP="00CE0514">
      <w:pPr>
        <w:pStyle w:val="Odsekzoznamu"/>
        <w:numPr>
          <w:ilvl w:val="0"/>
          <w:numId w:val="1"/>
        </w:numPr>
        <w:tabs>
          <w:tab w:val="left" w:pos="284"/>
        </w:tabs>
        <w:rPr>
          <w:rFonts w:ascii="Garamond" w:hAnsi="Garamond"/>
          <w:b/>
          <w:szCs w:val="24"/>
          <w:u w:val="single"/>
        </w:rPr>
      </w:pPr>
      <w:r w:rsidRPr="005940BE">
        <w:rPr>
          <w:rFonts w:ascii="Garamond" w:hAnsi="Garamond"/>
          <w:b/>
          <w:szCs w:val="24"/>
          <w:u w:val="single"/>
        </w:rPr>
        <w:t>Úloha EÚ pri výkone sankcií</w:t>
      </w:r>
    </w:p>
    <w:p w:rsidR="00CE0514" w:rsidRPr="005940BE" w:rsidRDefault="00CE0514" w:rsidP="00CE0514">
      <w:pPr>
        <w:pStyle w:val="Odsekzoznamu"/>
        <w:tabs>
          <w:tab w:val="left" w:pos="284"/>
        </w:tabs>
        <w:rPr>
          <w:rFonts w:ascii="Garamond" w:hAnsi="Garamond"/>
          <w:b/>
          <w:szCs w:val="24"/>
        </w:rPr>
      </w:pPr>
    </w:p>
    <w:p w:rsidR="00A145E0" w:rsidRPr="005940BE" w:rsidRDefault="00A145E0" w:rsidP="00065FB0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szCs w:val="24"/>
        </w:rPr>
        <w:t>Rozhodnutia BR OSN nie sú priamo aplikovateľné – vyžadujú na svoje vykonanie nástroj vnútroštátneho práva (v SR zákon č. 126/2011 Z.z. o vykonávaní medzinárodných sankcií).</w:t>
      </w:r>
    </w:p>
    <w:p w:rsidR="00A145E0" w:rsidRPr="005940BE" w:rsidRDefault="00A145E0" w:rsidP="00065FB0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szCs w:val="24"/>
        </w:rPr>
        <w:t>Sankcie bez použitia sily majú predovšetkým hospodárske účinky – či už ide sankcie „klasické“ alebo cielené, je pre ich vykonanie vhodná platforma ekonomického integračného zoskupenia akým je Európska únia</w:t>
      </w:r>
    </w:p>
    <w:p w:rsidR="00A145E0" w:rsidRPr="005940BE" w:rsidRDefault="00A145E0" w:rsidP="00065FB0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szCs w:val="24"/>
        </w:rPr>
        <w:t>Európska únia vytvára vnútorný trh (článok 3 Zmluvy o Európskej únii) – priestor voľného pohybu osôb, tovarov, služieb a kapitálu.</w:t>
      </w:r>
    </w:p>
    <w:p w:rsidR="00A145E0" w:rsidRPr="005940BE" w:rsidRDefault="00A145E0" w:rsidP="00065FB0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szCs w:val="24"/>
        </w:rPr>
        <w:t xml:space="preserve">V tomto priestore je efektívne a účelne v záujme jednotného výkonu sankcií BR OSN, obzvlášť sankcií hospodárskej povahy, zveriť právomoc ich vykonania </w:t>
      </w:r>
      <w:r w:rsidR="00065FB0" w:rsidRPr="005940BE">
        <w:rPr>
          <w:rFonts w:ascii="Garamond" w:hAnsi="Garamond"/>
          <w:szCs w:val="24"/>
        </w:rPr>
        <w:t>organizácií</w:t>
      </w:r>
    </w:p>
    <w:p w:rsidR="00065FB0" w:rsidRPr="005940BE" w:rsidRDefault="00065FB0" w:rsidP="00065FB0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szCs w:val="24"/>
        </w:rPr>
        <w:t xml:space="preserve">Európska únia vykonáva sankcie BR OSN v rámci </w:t>
      </w:r>
      <w:r w:rsidRPr="005940BE">
        <w:rPr>
          <w:rFonts w:ascii="Garamond" w:hAnsi="Garamond"/>
          <w:b/>
          <w:szCs w:val="24"/>
        </w:rPr>
        <w:t xml:space="preserve">Spoločnej zahraničnej a bezpečnostnej politiky </w:t>
      </w:r>
      <w:r w:rsidRPr="005940BE">
        <w:rPr>
          <w:rFonts w:ascii="Garamond" w:hAnsi="Garamond"/>
          <w:szCs w:val="24"/>
        </w:rPr>
        <w:t>(SZBP)</w:t>
      </w:r>
    </w:p>
    <w:p w:rsidR="00065FB0" w:rsidRPr="005940BE" w:rsidRDefault="00065FB0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</w:p>
    <w:p w:rsidR="00812207" w:rsidRPr="005940BE" w:rsidRDefault="00812207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>V súčasnosti sa úprava spoločnej zahraničnej politiky nachádza v piatej hlave Zmluvy o Európskej únii v rámci všeobecných ustanovení o vonkajšej činnosti únie a osobitných ustanovení o spoločnej zahraničnej a bezpečnostnej politike. Na základe týchto ustanovení sa Únia usiluje o rozvoj vzťahov a budovanie partnerstiev s tretími krajinami a s medzinárodnými, regionálnymi a univerzálnymi organizáciami, ktoré uznávajú spoločné zásady. Presadzuje mnohostranné riešenia spoločných problémov, najmä v rámci OSN.</w:t>
      </w:r>
      <w:r w:rsidRPr="005940BE">
        <w:rPr>
          <w:rFonts w:ascii="Garamond" w:hAnsi="Garamond"/>
          <w:szCs w:val="24"/>
          <w:vertAlign w:val="superscript"/>
        </w:rPr>
        <w:footnoteReference w:id="8"/>
      </w:r>
    </w:p>
    <w:p w:rsidR="00CE0514" w:rsidRPr="005940BE" w:rsidRDefault="00CE0514" w:rsidP="00065FB0">
      <w:pPr>
        <w:pStyle w:val="Odsekzoznamu"/>
        <w:tabs>
          <w:tab w:val="left" w:pos="284"/>
        </w:tabs>
        <w:ind w:left="0"/>
        <w:rPr>
          <w:rFonts w:ascii="Garamond" w:hAnsi="Garamond"/>
          <w:szCs w:val="24"/>
        </w:rPr>
      </w:pPr>
    </w:p>
    <w:p w:rsidR="00F6178F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>Základné vymedznie SZBP nachádzame v Zmluve o Európskej ún</w:t>
      </w:r>
      <w:r w:rsidR="00CE0514" w:rsidRPr="005940BE">
        <w:rPr>
          <w:rFonts w:ascii="Garamond" w:hAnsi="Garamond"/>
          <w:szCs w:val="24"/>
        </w:rPr>
        <w:t>ií (ZEU) v článku</w:t>
      </w:r>
      <w:r w:rsidRPr="005940BE">
        <w:rPr>
          <w:rFonts w:ascii="Garamond" w:hAnsi="Garamond"/>
          <w:szCs w:val="24"/>
        </w:rPr>
        <w:t xml:space="preserve"> 21 – základné vymedzenie SZBP a jej realizácia vo vzťahu k Charte OSN:</w:t>
      </w:r>
    </w:p>
    <w:p w:rsidR="00065FB0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i/>
          <w:szCs w:val="24"/>
        </w:rPr>
      </w:pPr>
      <w:r w:rsidRPr="005940BE">
        <w:rPr>
          <w:rFonts w:ascii="Garamond" w:hAnsi="Garamond"/>
          <w:i/>
          <w:szCs w:val="24"/>
        </w:rPr>
        <w:t xml:space="preserve">Činnosť Únie na medzinárodnej scéne sa spravuje zásadami, ktoré sa uplatnili pri jej založení, rozvoji a rozšírení a ktoré hodlá podporovať vo zvyšku sveta: demokracia, právny štát, univerzálnosť a nedeliteľnosť ľudských práv a základných slobôd, zachovávanieľudskej dôstojnosti, rovnosť a solidarita a </w:t>
      </w:r>
      <w:r w:rsidRPr="005940BE">
        <w:rPr>
          <w:rFonts w:ascii="Garamond" w:hAnsi="Garamond"/>
          <w:b/>
          <w:i/>
          <w:szCs w:val="24"/>
        </w:rPr>
        <w:t>dodržiavanie zásad Charty Organizácie Spojených národov a medzinárodného práva</w:t>
      </w:r>
      <w:r w:rsidRPr="005940BE">
        <w:rPr>
          <w:rFonts w:ascii="Garamond" w:hAnsi="Garamond"/>
          <w:i/>
          <w:szCs w:val="24"/>
        </w:rPr>
        <w:t>.</w:t>
      </w:r>
    </w:p>
    <w:p w:rsidR="00065FB0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i/>
          <w:szCs w:val="24"/>
        </w:rPr>
      </w:pPr>
      <w:r w:rsidRPr="005940BE">
        <w:rPr>
          <w:rFonts w:ascii="Garamond" w:hAnsi="Garamond"/>
          <w:i/>
          <w:szCs w:val="24"/>
        </w:rPr>
        <w:t xml:space="preserve">Únia sa usiluje o rozvoj vzťahov a budovanie partnerstiev s tretími krajinami a s medzinárodnými, regionálnymi alebo svetovými organizáciami, ktoré uznávajú spoločné zásady uvedené v prvom pododseku. </w:t>
      </w:r>
      <w:r w:rsidRPr="005940BE">
        <w:rPr>
          <w:rFonts w:ascii="Garamond" w:hAnsi="Garamond"/>
          <w:b/>
          <w:i/>
          <w:szCs w:val="24"/>
        </w:rPr>
        <w:t>Presadzuje mnohostranné riešenia spoločných problémov, najmä v rámci Organizácie Spojených národov</w:t>
      </w:r>
      <w:r w:rsidRPr="005940BE">
        <w:rPr>
          <w:rFonts w:ascii="Garamond" w:hAnsi="Garamond"/>
          <w:i/>
          <w:szCs w:val="24"/>
        </w:rPr>
        <w:t>.</w:t>
      </w:r>
      <w:r w:rsidRPr="005940BE">
        <w:rPr>
          <w:rStyle w:val="Odkaznapoznmkupodiarou"/>
          <w:rFonts w:ascii="Garamond" w:hAnsi="Garamond"/>
          <w:i/>
          <w:szCs w:val="24"/>
        </w:rPr>
        <w:footnoteReference w:id="9"/>
      </w:r>
    </w:p>
    <w:p w:rsidR="00065FB0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i/>
          <w:szCs w:val="24"/>
        </w:rPr>
      </w:pPr>
    </w:p>
    <w:p w:rsidR="00065FB0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b/>
          <w:szCs w:val="24"/>
        </w:rPr>
        <w:t xml:space="preserve">Článok 22 – </w:t>
      </w:r>
      <w:r w:rsidRPr="005940BE">
        <w:rPr>
          <w:rFonts w:ascii="Garamond" w:hAnsi="Garamond"/>
          <w:szCs w:val="24"/>
        </w:rPr>
        <w:t xml:space="preserve">na základe zásad článku 21, určuje </w:t>
      </w:r>
      <w:r w:rsidRPr="005940BE">
        <w:rPr>
          <w:rFonts w:ascii="Garamond" w:hAnsi="Garamond"/>
          <w:b/>
          <w:szCs w:val="24"/>
        </w:rPr>
        <w:t>Európska rada</w:t>
      </w:r>
      <w:r w:rsidRPr="005940BE">
        <w:rPr>
          <w:rFonts w:ascii="Garamond" w:hAnsi="Garamond"/>
          <w:szCs w:val="24"/>
        </w:rPr>
        <w:t xml:space="preserve"> strategické záujmy a ciele Únie.</w:t>
      </w:r>
    </w:p>
    <w:p w:rsidR="00065FB0" w:rsidRPr="005940BE" w:rsidRDefault="00065FB0" w:rsidP="00065FB0">
      <w:pPr>
        <w:tabs>
          <w:tab w:val="left" w:pos="0"/>
        </w:tabs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 xml:space="preserve">Článok 24 ZEU: Spoločná zahraničná a bezpečnostná politika </w:t>
      </w:r>
      <w:r w:rsidRPr="005940BE">
        <w:rPr>
          <w:rFonts w:ascii="Garamond" w:hAnsi="Garamond"/>
          <w:b/>
          <w:szCs w:val="24"/>
        </w:rPr>
        <w:t>podlieha osobitným pravidlám a postupom</w:t>
      </w:r>
      <w:r w:rsidRPr="005940BE">
        <w:rPr>
          <w:rFonts w:ascii="Garamond" w:hAnsi="Garamond"/>
          <w:szCs w:val="24"/>
        </w:rPr>
        <w:t>. Vymedzuje a vykonáva ju jednomyseľne Európska rada a Rada s výnimkou</w:t>
      </w:r>
    </w:p>
    <w:p w:rsidR="00065FB0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>prípadov, keď sa v zmluvách ustanovuje inak. Prijatie legislatívneho aktu sa vylučuje. Spoločnú zahraničnú a bezpečnostnú politiku uskutočňuje vysoký predstaviteľ Únie pre zahraničné veci a bezpečnostnú politiku a členské štáty v súlade so zmluvami...</w:t>
      </w:r>
    </w:p>
    <w:p w:rsidR="00065FB0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szCs w:val="24"/>
        </w:rPr>
      </w:pPr>
    </w:p>
    <w:p w:rsidR="00065FB0" w:rsidRPr="005940BE" w:rsidRDefault="00065FB0" w:rsidP="00065FB0">
      <w:pPr>
        <w:pStyle w:val="Odsekzoznamu"/>
        <w:tabs>
          <w:tab w:val="left" w:pos="0"/>
        </w:tabs>
        <w:ind w:left="0"/>
        <w:rPr>
          <w:rFonts w:ascii="Garamond" w:hAnsi="Garamond"/>
          <w:b/>
          <w:szCs w:val="24"/>
        </w:rPr>
      </w:pPr>
      <w:r w:rsidRPr="005940BE">
        <w:rPr>
          <w:rFonts w:ascii="Garamond" w:hAnsi="Garamond"/>
          <w:szCs w:val="24"/>
        </w:rPr>
        <w:t xml:space="preserve">V zmysle </w:t>
      </w:r>
      <w:r w:rsidRPr="005940BE">
        <w:rPr>
          <w:rFonts w:ascii="Garamond" w:hAnsi="Garamond"/>
          <w:b/>
          <w:szCs w:val="24"/>
        </w:rPr>
        <w:t xml:space="preserve">článku 25 ZEU, Únia uskutočňuje SZBP </w:t>
      </w:r>
      <w:r w:rsidR="007E6F4C" w:rsidRPr="005940BE">
        <w:rPr>
          <w:rFonts w:ascii="Garamond" w:hAnsi="Garamond"/>
          <w:b/>
          <w:szCs w:val="24"/>
        </w:rPr>
        <w:t>hlavne:</w:t>
      </w:r>
    </w:p>
    <w:p w:rsidR="007E6F4C" w:rsidRPr="005940BE" w:rsidRDefault="007E6F4C" w:rsidP="007E6F4C">
      <w:pPr>
        <w:pStyle w:val="Odsekzoznamu"/>
        <w:tabs>
          <w:tab w:val="left" w:pos="426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>a)</w:t>
      </w:r>
      <w:r w:rsidRPr="005940BE">
        <w:rPr>
          <w:rFonts w:ascii="Garamond" w:hAnsi="Garamond"/>
          <w:szCs w:val="24"/>
        </w:rPr>
        <w:tab/>
        <w:t>vym</w:t>
      </w:r>
      <w:r w:rsidR="00E2661A" w:rsidRPr="005940BE">
        <w:rPr>
          <w:rFonts w:ascii="Garamond" w:hAnsi="Garamond"/>
          <w:szCs w:val="24"/>
        </w:rPr>
        <w:t>edzením všeobecných usmernení (rozhoduje Európska rada)</w:t>
      </w:r>
      <w:r w:rsidRPr="005940BE">
        <w:rPr>
          <w:rFonts w:ascii="Garamond" w:hAnsi="Garamond"/>
          <w:szCs w:val="24"/>
        </w:rPr>
        <w:tab/>
      </w:r>
    </w:p>
    <w:p w:rsidR="007E6F4C" w:rsidRPr="005940BE" w:rsidRDefault="007E6F4C" w:rsidP="007E6F4C">
      <w:pPr>
        <w:pStyle w:val="Odsekzoznamu"/>
        <w:tabs>
          <w:tab w:val="left" w:pos="426"/>
        </w:tabs>
        <w:ind w:left="0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 xml:space="preserve">b) </w:t>
      </w:r>
      <w:r w:rsidRPr="005940BE">
        <w:rPr>
          <w:rFonts w:ascii="Garamond" w:hAnsi="Garamond"/>
          <w:szCs w:val="24"/>
        </w:rPr>
        <w:tab/>
        <w:t>prijímaním rozhodnutí, ktoré vymedzujú:</w:t>
      </w:r>
    </w:p>
    <w:p w:rsidR="007E6F4C" w:rsidRPr="005940BE" w:rsidRDefault="007E6F4C" w:rsidP="007E6F4C">
      <w:pPr>
        <w:pStyle w:val="Odsekzoznamu"/>
        <w:tabs>
          <w:tab w:val="left" w:pos="426"/>
        </w:tabs>
        <w:ind w:left="0" w:firstLine="567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 xml:space="preserve"> i) </w:t>
      </w:r>
      <w:r w:rsidRPr="005940BE">
        <w:rPr>
          <w:rFonts w:ascii="Garamond" w:hAnsi="Garamond"/>
          <w:szCs w:val="24"/>
        </w:rPr>
        <w:tab/>
        <w:t>aké akcie má Únia vykonať</w:t>
      </w:r>
      <w:r w:rsidRPr="005940BE">
        <w:rPr>
          <w:rFonts w:ascii="Garamond" w:hAnsi="Garamond"/>
          <w:szCs w:val="24"/>
        </w:rPr>
        <w:tab/>
      </w:r>
      <w:r w:rsidRPr="005940BE">
        <w:rPr>
          <w:rFonts w:ascii="Garamond" w:hAnsi="Garamond"/>
          <w:szCs w:val="24"/>
        </w:rPr>
        <w:tab/>
      </w:r>
    </w:p>
    <w:p w:rsidR="007E6F4C" w:rsidRPr="005940BE" w:rsidRDefault="007E6F4C" w:rsidP="007E6F4C">
      <w:pPr>
        <w:pStyle w:val="Odsekzoznamu"/>
        <w:tabs>
          <w:tab w:val="left" w:pos="426"/>
        </w:tabs>
        <w:ind w:left="0" w:firstLine="567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 xml:space="preserve"> ii) </w:t>
      </w:r>
      <w:r w:rsidRPr="005940BE">
        <w:rPr>
          <w:rFonts w:ascii="Garamond" w:hAnsi="Garamond"/>
          <w:szCs w:val="24"/>
        </w:rPr>
        <w:tab/>
        <w:t>aké pozície má Únia zaujať</w:t>
      </w:r>
      <w:r w:rsidRPr="005940BE">
        <w:rPr>
          <w:rFonts w:ascii="Garamond" w:hAnsi="Garamond"/>
          <w:szCs w:val="24"/>
        </w:rPr>
        <w:tab/>
      </w:r>
      <w:r w:rsidRPr="005940BE">
        <w:rPr>
          <w:rFonts w:ascii="Garamond" w:hAnsi="Garamond"/>
          <w:szCs w:val="24"/>
        </w:rPr>
        <w:tab/>
      </w:r>
    </w:p>
    <w:p w:rsidR="007E6F4C" w:rsidRPr="005940BE" w:rsidRDefault="007E6F4C" w:rsidP="007E6F4C">
      <w:pPr>
        <w:pStyle w:val="Odsekzoznamu"/>
        <w:tabs>
          <w:tab w:val="left" w:pos="426"/>
        </w:tabs>
        <w:ind w:left="0" w:firstLine="567"/>
        <w:rPr>
          <w:rFonts w:ascii="Garamond" w:hAnsi="Garamond"/>
          <w:szCs w:val="24"/>
        </w:rPr>
      </w:pPr>
      <w:r w:rsidRPr="005940BE">
        <w:rPr>
          <w:rFonts w:ascii="Garamond" w:hAnsi="Garamond"/>
          <w:szCs w:val="24"/>
        </w:rPr>
        <w:t xml:space="preserve"> iii) </w:t>
      </w:r>
      <w:r w:rsidRPr="005940BE">
        <w:rPr>
          <w:rFonts w:ascii="Garamond" w:hAnsi="Garamond"/>
          <w:szCs w:val="24"/>
        </w:rPr>
        <w:tab/>
        <w:t>opatrenia na vykonávanie rozhodnutí uvedených v bodoch i) a ii);</w:t>
      </w:r>
    </w:p>
    <w:p w:rsidR="00CE0514" w:rsidRPr="005940BE" w:rsidRDefault="00CE0514" w:rsidP="007E6F4C">
      <w:pPr>
        <w:pStyle w:val="Odsekzoznamu"/>
        <w:tabs>
          <w:tab w:val="left" w:pos="426"/>
        </w:tabs>
        <w:ind w:left="0" w:firstLine="567"/>
        <w:rPr>
          <w:rFonts w:ascii="Garamond" w:hAnsi="Garamond"/>
          <w:szCs w:val="24"/>
        </w:rPr>
      </w:pP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Článok 25 Zmluvy o Európskej únii vymedzuje kategórie rozhodnutí, ktoré Únia prijíma pri realizácii SZBP. Hlavnú úlohu pri vykonávaní SZBP má </w:t>
      </w:r>
      <w:r w:rsidRPr="005940BE">
        <w:rPr>
          <w:rFonts w:ascii="Garamond" w:hAnsi="Garamond"/>
          <w:b/>
          <w:bCs/>
          <w:szCs w:val="24"/>
        </w:rPr>
        <w:t>Vysoký predstaviteľ Únie pre zahraničnú politiku a Rada</w:t>
      </w:r>
      <w:r w:rsidRPr="005940BE">
        <w:rPr>
          <w:rFonts w:ascii="Garamond" w:hAnsi="Garamond"/>
          <w:bCs/>
          <w:szCs w:val="24"/>
        </w:rPr>
        <w:t>.</w:t>
      </w: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/>
          <w:bCs/>
          <w:szCs w:val="24"/>
        </w:rPr>
        <w:t>Rada tvorí túto politiku pričom sa spravuje všeobecnými usmerneniami a strategickými smermi prijatými Európskou radou</w:t>
      </w:r>
      <w:r w:rsidRPr="005940BE">
        <w:rPr>
          <w:rFonts w:ascii="Garamond" w:hAnsi="Garamond"/>
          <w:bCs/>
          <w:szCs w:val="24"/>
        </w:rPr>
        <w:t xml:space="preserve">. </w:t>
      </w: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Základným rámcom vymedzujúcim právomoc Únie v oblasti sankcií je článok </w:t>
      </w:r>
      <w:r w:rsidRPr="005940BE">
        <w:rPr>
          <w:rFonts w:ascii="Garamond" w:hAnsi="Garamond"/>
          <w:b/>
          <w:bCs/>
          <w:szCs w:val="24"/>
        </w:rPr>
        <w:t>28 ZEÚ</w:t>
      </w:r>
      <w:r w:rsidRPr="005940BE">
        <w:rPr>
          <w:rFonts w:ascii="Garamond" w:hAnsi="Garamond"/>
          <w:bCs/>
          <w:szCs w:val="24"/>
        </w:rPr>
        <w:t>. Ak si medzinárodná situácia vyžaduje operačnú činnosť Únie má na základe uvedeného článku Rada právomoc prijať rozhodnutie, ktorým vymedzí ciele, rozsah a prostriedky, ktoré dostáva Únia k dispozícií a toto rozhodnutie vymedzí aj doba trvania a spôsob ich uskutočnenia.</w:t>
      </w: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/>
          <w:bCs/>
          <w:szCs w:val="24"/>
        </w:rPr>
        <w:t>Článok 31 ZEÚ predpisuje jednomyseľné prijímanie rozhodnutí tak Radou ako aj Európskou radou</w:t>
      </w:r>
      <w:r w:rsidRPr="005940BE">
        <w:rPr>
          <w:rFonts w:ascii="Garamond" w:hAnsi="Garamond"/>
          <w:bCs/>
          <w:szCs w:val="24"/>
        </w:rPr>
        <w:t xml:space="preserve">. Postup predpokladaný Zmluvou o Európskej únii sa týka rozhodnutí v rámci celého spektra SZBP, pričom ukladanie reštriktívnych opatrení tvorí iba časť z nich. </w:t>
      </w: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Osobitný postup pre prijímanie </w:t>
      </w:r>
      <w:r w:rsidRPr="005940BE">
        <w:rPr>
          <w:rFonts w:ascii="Garamond" w:hAnsi="Garamond"/>
          <w:b/>
          <w:bCs/>
          <w:szCs w:val="24"/>
        </w:rPr>
        <w:t>reštriktívnych opatrení</w:t>
      </w:r>
      <w:r w:rsidRPr="005940BE">
        <w:rPr>
          <w:rFonts w:ascii="Garamond" w:hAnsi="Garamond"/>
          <w:bCs/>
          <w:szCs w:val="24"/>
        </w:rPr>
        <w:t xml:space="preserve"> (sankcií) </w:t>
      </w:r>
      <w:r w:rsidRPr="005940BE">
        <w:rPr>
          <w:rFonts w:ascii="Garamond" w:hAnsi="Garamond"/>
          <w:b/>
          <w:bCs/>
          <w:szCs w:val="24"/>
        </w:rPr>
        <w:t>upravuje článok 216 Zmluvy o fungovaní Európskej únie</w:t>
      </w:r>
      <w:r w:rsidRPr="005940BE">
        <w:rPr>
          <w:rFonts w:ascii="Garamond" w:hAnsi="Garamond"/>
          <w:bCs/>
          <w:szCs w:val="24"/>
        </w:rPr>
        <w:t xml:space="preserve">. </w:t>
      </w: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</w:p>
    <w:p w:rsidR="008A1D7F" w:rsidRDefault="00CE0514" w:rsidP="008A1D7F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>Vysoký predstaviteľ pre zahraničné veci a bezpečnostnú politiku spoločne s Komisiou predkladajú návrh opatrenia na základe Rozhodnutia Rady (jednomyseľného) Rade Európskej únie, ktorá toto prijíma tentoraz už kvalifikovanou väčšinou. Reštriktívne opatrenia sa môžu zahŕňať prerušenie hospodárskych a finančných vzťahov s jednou alebo viacerými krajinami. Takéto opatrenia možno prijať aj voči neštátnym subjektom - teda fyzickým a právnickým osobám či iným skupinám.</w:t>
      </w:r>
      <w:r w:rsidR="008A1D7F">
        <w:rPr>
          <w:rFonts w:ascii="Garamond" w:hAnsi="Garamond"/>
          <w:bCs/>
          <w:szCs w:val="24"/>
        </w:rPr>
        <w:br w:type="page"/>
      </w:r>
    </w:p>
    <w:p w:rsidR="00CE0514" w:rsidRPr="005940BE" w:rsidRDefault="008A1D7F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T</w:t>
      </w:r>
      <w:r w:rsidR="00CE0514" w:rsidRPr="005940BE">
        <w:rPr>
          <w:rFonts w:ascii="Garamond" w:hAnsi="Garamond"/>
          <w:bCs/>
          <w:szCs w:val="24"/>
        </w:rPr>
        <w:t xml:space="preserve">ento </w:t>
      </w:r>
      <w:r>
        <w:rPr>
          <w:rFonts w:ascii="Garamond" w:hAnsi="Garamond"/>
          <w:bCs/>
          <w:szCs w:val="24"/>
        </w:rPr>
        <w:t>proces</w:t>
      </w:r>
      <w:r w:rsidR="00CE0514" w:rsidRPr="005940BE">
        <w:rPr>
          <w:rFonts w:ascii="Garamond" w:hAnsi="Garamond"/>
          <w:bCs/>
          <w:szCs w:val="24"/>
        </w:rPr>
        <w:t xml:space="preserve"> rozhodovania o reštriktívnych opatreniach sa uplatňuje  </w:t>
      </w:r>
      <w:r w:rsidR="00CE0514" w:rsidRPr="005940BE">
        <w:rPr>
          <w:rFonts w:ascii="Garamond" w:hAnsi="Garamond"/>
          <w:b/>
          <w:bCs/>
          <w:szCs w:val="24"/>
        </w:rPr>
        <w:t>pri  rozhodovaní o reštriktívnych opatreniach vo všeobecnosti</w:t>
      </w:r>
      <w:r w:rsidR="00CE0514" w:rsidRPr="005940BE">
        <w:rPr>
          <w:rFonts w:ascii="Garamond" w:hAnsi="Garamond"/>
          <w:bCs/>
          <w:szCs w:val="24"/>
        </w:rPr>
        <w:t xml:space="preserve">. Nevzťahuje sa výlučne na implementáciu </w:t>
      </w:r>
      <w:r w:rsidR="00CE0514" w:rsidRPr="005940BE">
        <w:rPr>
          <w:rFonts w:ascii="Garamond" w:hAnsi="Garamond"/>
          <w:b/>
          <w:bCs/>
          <w:szCs w:val="24"/>
        </w:rPr>
        <w:t>rezolúcií BR OSN.</w:t>
      </w:r>
    </w:p>
    <w:p w:rsidR="008A1D7F" w:rsidRDefault="008A1D7F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Cs/>
          <w:szCs w:val="24"/>
        </w:rPr>
        <w:t xml:space="preserve">Uplatňuje sa aj v prípade rozhodovania o </w:t>
      </w:r>
      <w:r w:rsidRPr="008A1D7F">
        <w:rPr>
          <w:rFonts w:ascii="Garamond" w:hAnsi="Garamond"/>
          <w:b/>
          <w:bCs/>
          <w:szCs w:val="24"/>
        </w:rPr>
        <w:t>jednostranných reštriktívnych opatreniach</w:t>
      </w:r>
      <w:r w:rsidR="008A1D7F">
        <w:rPr>
          <w:rFonts w:ascii="Garamond" w:hAnsi="Garamond"/>
          <w:b/>
          <w:bCs/>
          <w:szCs w:val="24"/>
        </w:rPr>
        <w:t xml:space="preserve"> (</w:t>
      </w:r>
      <w:r w:rsidR="008A1D7F">
        <w:rPr>
          <w:rFonts w:ascii="Garamond" w:hAnsi="Garamond"/>
          <w:bCs/>
          <w:szCs w:val="24"/>
        </w:rPr>
        <w:t>bez použitia sily</w:t>
      </w:r>
      <w:r w:rsidR="008A1D7F">
        <w:rPr>
          <w:rFonts w:ascii="Garamond" w:hAnsi="Garamond"/>
          <w:b/>
          <w:bCs/>
          <w:szCs w:val="24"/>
        </w:rPr>
        <w:t>)</w:t>
      </w:r>
      <w:r w:rsidRPr="008A1D7F">
        <w:rPr>
          <w:rFonts w:ascii="Garamond" w:hAnsi="Garamond"/>
          <w:b/>
          <w:bCs/>
          <w:szCs w:val="24"/>
        </w:rPr>
        <w:t xml:space="preserve"> o ktorých uložení Únia rozhoduje aj bez mandátu BR OSN</w:t>
      </w:r>
      <w:r w:rsidRPr="005940BE">
        <w:rPr>
          <w:rFonts w:ascii="Garamond" w:hAnsi="Garamond"/>
          <w:bCs/>
          <w:szCs w:val="24"/>
        </w:rPr>
        <w:t xml:space="preserve"> (Napríklad Rozhodnutie Rady č. 2014/512/SZBP z 31.7.2014 voči Ruskej federácií zakazujúce vývoz a dovoz materiálu a produktov určených na vojenské účely). Je tomu tak najmä v prípadoch </w:t>
      </w:r>
      <w:r w:rsidR="008A1D7F">
        <w:rPr>
          <w:rFonts w:ascii="Garamond" w:hAnsi="Garamond"/>
          <w:bCs/>
          <w:szCs w:val="24"/>
        </w:rPr>
        <w:t xml:space="preserve">zníženej akcieschopnosti BR OSN. </w:t>
      </w:r>
    </w:p>
    <w:p w:rsidR="008A1D7F" w:rsidRDefault="008A1D7F" w:rsidP="00CE0514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</w:p>
    <w:p w:rsidR="00CE0514" w:rsidRPr="005940BE" w:rsidRDefault="008A1D7F" w:rsidP="00CE0514">
      <w:pPr>
        <w:pStyle w:val="Odsekzoznamu"/>
        <w:tabs>
          <w:tab w:val="left" w:pos="426"/>
        </w:tabs>
        <w:ind w:left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Cs/>
          <w:szCs w:val="24"/>
        </w:rPr>
        <w:t>Proces prijímania reštriktívnych opatrení, môže zahŕňať aj také opatrenia pri ktorých sa</w:t>
      </w:r>
      <w:r w:rsidR="00CE0514" w:rsidRPr="005940BE">
        <w:rPr>
          <w:rFonts w:ascii="Garamond" w:hAnsi="Garamond"/>
          <w:bCs/>
          <w:szCs w:val="24"/>
        </w:rPr>
        <w:t xml:space="preserve"> </w:t>
      </w:r>
      <w:r w:rsidR="00CE0514" w:rsidRPr="005940BE">
        <w:rPr>
          <w:rFonts w:ascii="Garamond" w:hAnsi="Garamond"/>
          <w:b/>
          <w:bCs/>
          <w:szCs w:val="24"/>
        </w:rPr>
        <w:t>Únia opiera o rozhodnutie BR OSN, avšak rozsah sankcií rozširuje nad rámec rezolúcie BR OSN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Cs/>
          <w:szCs w:val="24"/>
        </w:rPr>
        <w:t xml:space="preserve"> už v rámci vlastného sankčného mechanizmu</w:t>
      </w:r>
      <w:r w:rsidR="00CE0514" w:rsidRPr="005940BE">
        <w:rPr>
          <w:rFonts w:ascii="Garamond" w:hAnsi="Garamond"/>
          <w:b/>
          <w:bCs/>
          <w:szCs w:val="24"/>
        </w:rPr>
        <w:t>.</w:t>
      </w:r>
    </w:p>
    <w:p w:rsidR="006D56E2" w:rsidRPr="005940BE" w:rsidRDefault="006D56E2" w:rsidP="00CE0514">
      <w:pPr>
        <w:pStyle w:val="Odsekzoznamu"/>
        <w:tabs>
          <w:tab w:val="left" w:pos="426"/>
        </w:tabs>
        <w:ind w:left="0"/>
        <w:rPr>
          <w:rFonts w:ascii="Garamond" w:hAnsi="Garamond"/>
          <w:b/>
          <w:bCs/>
          <w:szCs w:val="24"/>
        </w:rPr>
      </w:pPr>
    </w:p>
    <w:p w:rsidR="006D56E2" w:rsidRPr="005940BE" w:rsidRDefault="006D56E2" w:rsidP="000E187A">
      <w:pPr>
        <w:pStyle w:val="Odsekzoznamu"/>
        <w:tabs>
          <w:tab w:val="left" w:pos="426"/>
        </w:tabs>
        <w:ind w:left="0"/>
        <w:rPr>
          <w:rFonts w:ascii="Garamond" w:hAnsi="Garamond"/>
          <w:bCs/>
          <w:szCs w:val="24"/>
        </w:rPr>
      </w:pPr>
      <w:r w:rsidRPr="005940BE">
        <w:rPr>
          <w:rFonts w:ascii="Garamond" w:hAnsi="Garamond"/>
          <w:b/>
          <w:bCs/>
          <w:szCs w:val="24"/>
        </w:rPr>
        <w:t>Mechanizmus vykonani</w:t>
      </w:r>
      <w:r w:rsidR="000E187A" w:rsidRPr="005940BE">
        <w:rPr>
          <w:rFonts w:ascii="Garamond" w:hAnsi="Garamond"/>
          <w:b/>
          <w:bCs/>
          <w:szCs w:val="24"/>
        </w:rPr>
        <w:t>a sankcií je teda dvojstupňov</w:t>
      </w:r>
      <w:r w:rsidR="008A1D7F">
        <w:rPr>
          <w:rFonts w:ascii="Garamond" w:hAnsi="Garamond"/>
          <w:b/>
          <w:bCs/>
          <w:szCs w:val="24"/>
        </w:rPr>
        <w:t>ý</w:t>
      </w:r>
      <w:r w:rsidR="000E187A" w:rsidRPr="005940BE">
        <w:rPr>
          <w:rFonts w:ascii="Garamond" w:hAnsi="Garamond"/>
          <w:b/>
          <w:bCs/>
          <w:szCs w:val="24"/>
        </w:rPr>
        <w:t>.</w:t>
      </w:r>
      <w:r w:rsidR="000E187A" w:rsidRPr="005940BE">
        <w:rPr>
          <w:rStyle w:val="Odkaznapoznmkupodiarou"/>
          <w:rFonts w:ascii="Garamond" w:hAnsi="Garamond"/>
          <w:b/>
          <w:bCs/>
          <w:szCs w:val="24"/>
        </w:rPr>
        <w:footnoteReference w:id="10"/>
      </w:r>
    </w:p>
    <w:p w:rsidR="00CE0514" w:rsidRPr="005940BE" w:rsidRDefault="00CE0514" w:rsidP="00CE0514">
      <w:pPr>
        <w:pStyle w:val="Odsekzoznamu"/>
        <w:tabs>
          <w:tab w:val="left" w:pos="426"/>
        </w:tabs>
        <w:ind w:left="0"/>
        <w:rPr>
          <w:rFonts w:ascii="Garamond" w:hAnsi="Garamond"/>
          <w:b/>
          <w:bCs/>
          <w:szCs w:val="24"/>
        </w:rPr>
      </w:pPr>
    </w:p>
    <w:p w:rsidR="00262285" w:rsidRPr="005940BE" w:rsidRDefault="00262285" w:rsidP="00CE0514">
      <w:pPr>
        <w:tabs>
          <w:tab w:val="left" w:pos="284"/>
        </w:tabs>
        <w:rPr>
          <w:rFonts w:ascii="Garamond" w:hAnsi="Garamond"/>
          <w:bCs/>
          <w:szCs w:val="24"/>
        </w:rPr>
      </w:pPr>
    </w:p>
    <w:sectPr w:rsidR="00262285" w:rsidRPr="005940BE" w:rsidSect="00471A64"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AB" w:rsidRDefault="007A15AB" w:rsidP="00807E19">
      <w:r>
        <w:separator/>
      </w:r>
    </w:p>
  </w:endnote>
  <w:endnote w:type="continuationSeparator" w:id="0">
    <w:p w:rsidR="007A15AB" w:rsidRDefault="007A15AB" w:rsidP="0080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8183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8A1D7F" w:rsidRPr="008A1D7F" w:rsidRDefault="008A1D7F">
        <w:pPr>
          <w:pStyle w:val="Pta"/>
          <w:jc w:val="right"/>
          <w:rPr>
            <w:rFonts w:ascii="Garamond" w:hAnsi="Garamond"/>
          </w:rPr>
        </w:pPr>
        <w:r w:rsidRPr="008A1D7F">
          <w:rPr>
            <w:rFonts w:ascii="Garamond" w:hAnsi="Garamond"/>
          </w:rPr>
          <w:fldChar w:fldCharType="begin"/>
        </w:r>
        <w:r w:rsidRPr="008A1D7F">
          <w:rPr>
            <w:rFonts w:ascii="Garamond" w:hAnsi="Garamond"/>
          </w:rPr>
          <w:instrText>PAGE   \* MERGEFORMAT</w:instrText>
        </w:r>
        <w:r w:rsidRPr="008A1D7F">
          <w:rPr>
            <w:rFonts w:ascii="Garamond" w:hAnsi="Garamond"/>
          </w:rPr>
          <w:fldChar w:fldCharType="separate"/>
        </w:r>
        <w:r w:rsidR="00471A64">
          <w:rPr>
            <w:rFonts w:ascii="Garamond" w:hAnsi="Garamond"/>
            <w:noProof/>
          </w:rPr>
          <w:t>2</w:t>
        </w:r>
        <w:r w:rsidRPr="008A1D7F">
          <w:rPr>
            <w:rFonts w:ascii="Garamond" w:hAnsi="Garamond"/>
          </w:rPr>
          <w:fldChar w:fldCharType="end"/>
        </w:r>
      </w:p>
    </w:sdtContent>
  </w:sdt>
  <w:p w:rsidR="008A1D7F" w:rsidRDefault="008A1D7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64" w:rsidRPr="00471A64" w:rsidRDefault="00471A64" w:rsidP="00471A64">
    <w:pPr>
      <w:pStyle w:val="Pta"/>
      <w:jc w:val="right"/>
      <w:rPr>
        <w:rFonts w:ascii="Garamond" w:hAnsi="Garamond"/>
      </w:rPr>
    </w:pPr>
    <w:r w:rsidRPr="00471A64"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AB" w:rsidRDefault="007A15AB" w:rsidP="00807E19">
      <w:r>
        <w:separator/>
      </w:r>
    </w:p>
  </w:footnote>
  <w:footnote w:type="continuationSeparator" w:id="0">
    <w:p w:rsidR="007A15AB" w:rsidRDefault="007A15AB" w:rsidP="00807E19">
      <w:r>
        <w:continuationSeparator/>
      </w:r>
    </w:p>
  </w:footnote>
  <w:footnote w:id="1">
    <w:p w:rsidR="00807E19" w:rsidRPr="00262285" w:rsidRDefault="00807E19" w:rsidP="00262285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="00812207" w:rsidRPr="00262285">
        <w:rPr>
          <w:sz w:val="18"/>
          <w:szCs w:val="18"/>
        </w:rPr>
        <w:tab/>
      </w:r>
      <w:r w:rsidRPr="00262285">
        <w:rPr>
          <w:sz w:val="18"/>
          <w:szCs w:val="18"/>
        </w:rPr>
        <w:t>Pozri bližšie: Klučka, J.: Medzinárodné právo verejné (všeobecná a osobitná časť), 2. vydanie, IURA Edition: Bratislava, 2011, s. 232 – 233.</w:t>
      </w:r>
    </w:p>
  </w:footnote>
  <w:footnote w:id="2">
    <w:p w:rsidR="008A1D7F" w:rsidRPr="00262285" w:rsidRDefault="008A1D7F" w:rsidP="008A1D7F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Pr="00262285">
        <w:rPr>
          <w:sz w:val="18"/>
          <w:szCs w:val="18"/>
        </w:rPr>
        <w:tab/>
        <w:t>Možno poukázať na dokument Cooperation between the United Nations and Regional Organizations/Arrangementsun a</w:t>
      </w:r>
      <w:bookmarkStart w:id="0" w:name="_GoBack"/>
      <w:bookmarkEnd w:id="0"/>
      <w:r w:rsidRPr="00262285">
        <w:rPr>
          <w:sz w:val="18"/>
          <w:szCs w:val="18"/>
        </w:rPr>
        <w:t> Peacekeeping Enviroment – Suggested Principles and Enviroments, op. cit. par. 9 – 12.</w:t>
      </w:r>
    </w:p>
  </w:footnote>
  <w:footnote w:id="3">
    <w:p w:rsidR="008A1D7F" w:rsidRPr="00262285" w:rsidRDefault="008A1D7F" w:rsidP="008A1D7F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Pr="00262285">
        <w:rPr>
          <w:sz w:val="18"/>
          <w:szCs w:val="18"/>
        </w:rPr>
        <w:tab/>
        <w:t>Porovnaj napríklad: Cooperation between United Nations, Regional, Subregional Organizations „Mainstay“ of International Relations, Security Council Hears troughout Day-Long Debate. Security Council SC/11087, 6 August 2013, Presidential Statement, [online] dostupné: http:// www.un.org/News/Press/docs/2013/sc11087.doc.htm.</w:t>
      </w:r>
    </w:p>
  </w:footnote>
  <w:footnote w:id="4">
    <w:p w:rsidR="008A1D7F" w:rsidRPr="00262285" w:rsidRDefault="008A1D7F" w:rsidP="008A1D7F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62285">
        <w:rPr>
          <w:sz w:val="18"/>
          <w:szCs w:val="18"/>
        </w:rPr>
        <w:t xml:space="preserve">KLUČKA, J.: </w:t>
      </w:r>
      <w:r w:rsidRPr="00262285">
        <w:rPr>
          <w:i/>
          <w:sz w:val="18"/>
          <w:szCs w:val="18"/>
        </w:rPr>
        <w:t>Medzinárodné právo verejné (všeobecná a osobitná časť)</w:t>
      </w:r>
      <w:r w:rsidRPr="00262285">
        <w:rPr>
          <w:sz w:val="18"/>
          <w:szCs w:val="18"/>
        </w:rPr>
        <w:t>, 2. vydanie, IURA Edition: Bratislava, 2011, s. 480.</w:t>
      </w:r>
    </w:p>
  </w:footnote>
  <w:footnote w:id="5">
    <w:p w:rsidR="008A1D7F" w:rsidRPr="00262285" w:rsidRDefault="008A1D7F" w:rsidP="008A1D7F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Pr="00262285">
        <w:rPr>
          <w:sz w:val="18"/>
          <w:szCs w:val="18"/>
        </w:rPr>
        <w:tab/>
        <w:t>Pozri článok 2, článok 41 a kapitolu 11 Protocol Relating to the Mechanism for Conflict Prevention, Management, Resolution, Peace-Keeping and Security, online: (Protocol Relating to the Mechanism for Conflict Prevention, Management, Resolution, Peace-Keeping and Security, [online] dostupný: </w:t>
      </w:r>
      <w:hyperlink r:id="rId1" w:history="1">
        <w:r w:rsidRPr="00262285">
          <w:rPr>
            <w:rStyle w:val="Hypertextovprepojenie"/>
            <w:rFonts w:eastAsiaTheme="majorEastAsia"/>
            <w:sz w:val="18"/>
            <w:szCs w:val="18"/>
          </w:rPr>
          <w:t>http://www.comm.ecowas.int/sec/index.php?id=ap101299&amp;lang=en</w:t>
        </w:r>
      </w:hyperlink>
      <w:r w:rsidRPr="00262285">
        <w:rPr>
          <w:sz w:val="18"/>
          <w:szCs w:val="18"/>
        </w:rPr>
        <w:t>.</w:t>
      </w:r>
    </w:p>
  </w:footnote>
  <w:footnote w:id="6">
    <w:p w:rsidR="008A1D7F" w:rsidRPr="00262285" w:rsidRDefault="008A1D7F" w:rsidP="008A1D7F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Pr="00262285">
        <w:rPr>
          <w:sz w:val="18"/>
          <w:szCs w:val="18"/>
        </w:rPr>
        <w:tab/>
        <w:t>Pozri: Prebiehajúce misie a operácie (civilné aj vojenské) EÚ k júnu 2013, [online] dostupné: http://www.eeas.europa.eu/csdp/missions-and-operations/.</w:t>
      </w:r>
    </w:p>
  </w:footnote>
  <w:footnote w:id="7">
    <w:p w:rsidR="008A1D7F" w:rsidRPr="00262285" w:rsidRDefault="008A1D7F" w:rsidP="008A1D7F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Pr="00262285">
        <w:rPr>
          <w:sz w:val="18"/>
          <w:szCs w:val="18"/>
        </w:rPr>
        <w:tab/>
        <w:t>An Agenda for Peace – Preventive diplomacy, peacemaking and peace-keeping, op. cit. par.</w:t>
      </w:r>
    </w:p>
  </w:footnote>
  <w:footnote w:id="8">
    <w:p w:rsidR="00812207" w:rsidRPr="00262285" w:rsidRDefault="00812207" w:rsidP="00262285">
      <w:pPr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Pr="00262285">
        <w:rPr>
          <w:sz w:val="18"/>
          <w:szCs w:val="18"/>
        </w:rPr>
        <w:tab/>
        <w:t xml:space="preserve">Článok 21 Zmluvy o Európskej únii. </w:t>
      </w:r>
    </w:p>
  </w:footnote>
  <w:footnote w:id="9">
    <w:p w:rsidR="00065FB0" w:rsidRPr="00262285" w:rsidRDefault="00065FB0" w:rsidP="00262285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="00812207" w:rsidRPr="00262285">
        <w:rPr>
          <w:sz w:val="18"/>
          <w:szCs w:val="18"/>
        </w:rPr>
        <w:tab/>
      </w:r>
      <w:r w:rsidRPr="00262285">
        <w:rPr>
          <w:sz w:val="18"/>
          <w:szCs w:val="18"/>
        </w:rPr>
        <w:t>Článok 21, ods. 1 Zmluvy o Európskej únii.</w:t>
      </w:r>
    </w:p>
  </w:footnote>
  <w:footnote w:id="10">
    <w:p w:rsidR="000E187A" w:rsidRPr="00262285" w:rsidRDefault="000E187A" w:rsidP="00262285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262285">
        <w:rPr>
          <w:rStyle w:val="Odkaznapoznmkupodiarou"/>
          <w:sz w:val="18"/>
          <w:szCs w:val="18"/>
        </w:rPr>
        <w:footnoteRef/>
      </w:r>
      <w:r w:rsidRPr="00262285">
        <w:rPr>
          <w:sz w:val="18"/>
          <w:szCs w:val="18"/>
        </w:rPr>
        <w:t xml:space="preserve"> </w:t>
      </w:r>
      <w:r w:rsidRPr="00262285">
        <w:rPr>
          <w:sz w:val="18"/>
          <w:szCs w:val="18"/>
        </w:rPr>
        <w:tab/>
        <w:t xml:space="preserve">Bližšie pozri: European Commission – Restrictive measures in force (Article 215 TFEU), aktuálne k 2.9.2014, online: </w:t>
      </w:r>
      <w:hyperlink r:id="rId2" w:history="1">
        <w:r w:rsidRPr="00262285">
          <w:rPr>
            <w:rStyle w:val="Hypertextovprepojenie"/>
            <w:sz w:val="18"/>
            <w:szCs w:val="18"/>
          </w:rPr>
          <w:t>http://eeas.europa.eu/cfsp/sanctions/docs/measures_en.pdf</w:t>
        </w:r>
      </w:hyperlink>
      <w:r w:rsidRPr="0026228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A64" w:rsidRPr="00471A64" w:rsidRDefault="00471A64" w:rsidP="00471A64">
    <w:pPr>
      <w:pStyle w:val="Hlavika"/>
      <w:ind w:left="5954"/>
      <w:rPr>
        <w:rFonts w:ascii="Garamond" w:hAnsi="Garamond"/>
      </w:rPr>
    </w:pPr>
    <w:r w:rsidRPr="00471A64">
      <w:rPr>
        <w:rFonts w:ascii="Garamond" w:hAnsi="Garamond"/>
      </w:rPr>
      <w:t>Adam Giertl</w:t>
    </w:r>
  </w:p>
  <w:p w:rsidR="00471A64" w:rsidRPr="00471A64" w:rsidRDefault="00471A64" w:rsidP="00471A64">
    <w:pPr>
      <w:pStyle w:val="Hlavika"/>
      <w:ind w:left="5954"/>
      <w:rPr>
        <w:rFonts w:ascii="Garamond" w:hAnsi="Garamond"/>
      </w:rPr>
    </w:pPr>
    <w:r w:rsidRPr="00471A64">
      <w:rPr>
        <w:rFonts w:ascii="Garamond" w:hAnsi="Garamond"/>
      </w:rPr>
      <w:t>Ľubica Gregová Širicová</w:t>
    </w:r>
  </w:p>
  <w:p w:rsidR="00471A64" w:rsidRPr="00471A64" w:rsidRDefault="00471A64" w:rsidP="00471A64">
    <w:pPr>
      <w:pStyle w:val="Hlavika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7592E"/>
    <w:multiLevelType w:val="hybridMultilevel"/>
    <w:tmpl w:val="082A84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7271D"/>
    <w:multiLevelType w:val="hybridMultilevel"/>
    <w:tmpl w:val="6CDEFB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D5661"/>
    <w:multiLevelType w:val="hybridMultilevel"/>
    <w:tmpl w:val="2C16A4C8"/>
    <w:lvl w:ilvl="0" w:tplc="08D07C2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4D0F"/>
    <w:multiLevelType w:val="hybridMultilevel"/>
    <w:tmpl w:val="E8C6A27A"/>
    <w:lvl w:ilvl="0" w:tplc="3594FC7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CD52F3"/>
    <w:multiLevelType w:val="hybridMultilevel"/>
    <w:tmpl w:val="EE20C7EE"/>
    <w:lvl w:ilvl="0" w:tplc="9E86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8F"/>
    <w:rsid w:val="00065FB0"/>
    <w:rsid w:val="000E187A"/>
    <w:rsid w:val="00262285"/>
    <w:rsid w:val="0033370C"/>
    <w:rsid w:val="004408C8"/>
    <w:rsid w:val="004431E5"/>
    <w:rsid w:val="00471A64"/>
    <w:rsid w:val="005940BE"/>
    <w:rsid w:val="006D56E2"/>
    <w:rsid w:val="007A15AB"/>
    <w:rsid w:val="007E6F4C"/>
    <w:rsid w:val="00807E19"/>
    <w:rsid w:val="00812207"/>
    <w:rsid w:val="008403A2"/>
    <w:rsid w:val="008A1D7F"/>
    <w:rsid w:val="009637A4"/>
    <w:rsid w:val="00A145E0"/>
    <w:rsid w:val="00AA60FA"/>
    <w:rsid w:val="00CA56E6"/>
    <w:rsid w:val="00CE0514"/>
    <w:rsid w:val="00E2661A"/>
    <w:rsid w:val="00E91F65"/>
    <w:rsid w:val="00F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7620F-9B9F-4F9F-87D1-505D57F8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370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178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07E1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07E1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807E1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E187A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940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40BE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940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0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eas.europa.eu/cfsp/sanctions/docs/measures_en.pdf" TargetMode="External"/><Relationship Id="rId1" Type="http://schemas.openxmlformats.org/officeDocument/2006/relationships/hyperlink" Target="http://www.comm.ecowas.int/sec/index.php?id=ap101299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99F1-BF2E-4DF0-A0A1-47F907E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Giertl</cp:lastModifiedBy>
  <cp:revision>3</cp:revision>
  <dcterms:created xsi:type="dcterms:W3CDTF">2014-12-10T16:11:00Z</dcterms:created>
  <dcterms:modified xsi:type="dcterms:W3CDTF">2014-12-11T10:41:00Z</dcterms:modified>
</cp:coreProperties>
</file>