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8C8" w:rsidRPr="005940BE" w:rsidRDefault="00F6178F" w:rsidP="00065FB0">
      <w:pPr>
        <w:jc w:val="center"/>
        <w:rPr>
          <w:rFonts w:ascii="Garamond" w:hAnsi="Garamond"/>
          <w:b/>
          <w:szCs w:val="24"/>
        </w:rPr>
      </w:pPr>
      <w:r w:rsidRPr="005940BE">
        <w:rPr>
          <w:rFonts w:ascii="Garamond" w:hAnsi="Garamond"/>
          <w:b/>
          <w:szCs w:val="24"/>
        </w:rPr>
        <w:t>Význam a miesto regionálnych organizácií pri výkone sankcií BR OSN podľa kapitoly VII (s osobitným zreteľom na Európsku úniu)</w:t>
      </w:r>
    </w:p>
    <w:p w:rsidR="00F6178F" w:rsidRPr="005940BE" w:rsidRDefault="00F6178F" w:rsidP="00065FB0">
      <w:pPr>
        <w:jc w:val="center"/>
        <w:rPr>
          <w:rFonts w:ascii="Garamond" w:hAnsi="Garamond"/>
          <w:b/>
          <w:szCs w:val="24"/>
        </w:rPr>
      </w:pPr>
    </w:p>
    <w:p w:rsidR="000E187A" w:rsidRPr="005940BE" w:rsidRDefault="000E187A" w:rsidP="00065FB0">
      <w:pPr>
        <w:jc w:val="center"/>
        <w:rPr>
          <w:rFonts w:ascii="Garamond" w:hAnsi="Garamond"/>
          <w:b/>
          <w:szCs w:val="24"/>
        </w:rPr>
      </w:pPr>
    </w:p>
    <w:p w:rsidR="00F6178F" w:rsidRPr="005940BE" w:rsidRDefault="00F6178F" w:rsidP="00065FB0">
      <w:pPr>
        <w:pStyle w:val="Odsekzoznamu"/>
        <w:numPr>
          <w:ilvl w:val="0"/>
          <w:numId w:val="1"/>
        </w:numPr>
        <w:tabs>
          <w:tab w:val="left" w:pos="284"/>
        </w:tabs>
        <w:ind w:left="0" w:firstLine="0"/>
        <w:rPr>
          <w:rFonts w:ascii="Garamond" w:hAnsi="Garamond"/>
          <w:b/>
          <w:szCs w:val="24"/>
          <w:u w:val="single"/>
        </w:rPr>
      </w:pPr>
      <w:r w:rsidRPr="005940BE">
        <w:rPr>
          <w:rFonts w:ascii="Garamond" w:hAnsi="Garamond"/>
          <w:b/>
          <w:szCs w:val="24"/>
          <w:u w:val="single"/>
        </w:rPr>
        <w:t>Regionálne organizácie – základné vymedzenie v kontexte Charty OSN</w:t>
      </w:r>
    </w:p>
    <w:p w:rsidR="00F6178F" w:rsidRPr="005940BE" w:rsidRDefault="00F6178F" w:rsidP="00065FB0">
      <w:pPr>
        <w:pStyle w:val="Odsekzoznamu"/>
        <w:tabs>
          <w:tab w:val="left" w:pos="284"/>
        </w:tabs>
        <w:ind w:left="0"/>
        <w:rPr>
          <w:rFonts w:ascii="Garamond" w:hAnsi="Garamond"/>
          <w:szCs w:val="24"/>
        </w:rPr>
      </w:pPr>
    </w:p>
    <w:p w:rsidR="00F6178F" w:rsidRPr="005940BE" w:rsidRDefault="00F6178F" w:rsidP="00065FB0">
      <w:pPr>
        <w:pStyle w:val="Odsekzoznamu"/>
        <w:tabs>
          <w:tab w:val="left" w:pos="284"/>
        </w:tabs>
        <w:ind w:left="0"/>
        <w:rPr>
          <w:rFonts w:ascii="Garamond" w:hAnsi="Garamond"/>
          <w:szCs w:val="24"/>
        </w:rPr>
      </w:pPr>
      <w:r w:rsidRPr="005940BE">
        <w:rPr>
          <w:rFonts w:ascii="Garamond" w:hAnsi="Garamond"/>
          <w:szCs w:val="24"/>
        </w:rPr>
        <w:t>Kapitola VIII Charty OSN hovorí o </w:t>
      </w:r>
      <w:r w:rsidRPr="005940BE">
        <w:rPr>
          <w:rFonts w:ascii="Garamond" w:hAnsi="Garamond"/>
          <w:b/>
          <w:szCs w:val="24"/>
        </w:rPr>
        <w:t xml:space="preserve">oblastných dohodách </w:t>
      </w:r>
      <w:r w:rsidRPr="005940BE">
        <w:rPr>
          <w:rFonts w:ascii="Garamond" w:hAnsi="Garamond"/>
          <w:szCs w:val="24"/>
        </w:rPr>
        <w:t>a </w:t>
      </w:r>
      <w:r w:rsidRPr="005940BE">
        <w:rPr>
          <w:rFonts w:ascii="Garamond" w:hAnsi="Garamond"/>
          <w:b/>
          <w:szCs w:val="24"/>
        </w:rPr>
        <w:t xml:space="preserve">orgánoch </w:t>
      </w:r>
      <w:r w:rsidRPr="005940BE">
        <w:rPr>
          <w:rFonts w:ascii="Garamond" w:hAnsi="Garamond"/>
          <w:szCs w:val="24"/>
        </w:rPr>
        <w:t xml:space="preserve">na riešenie otázok medzinárodného mieru a bezpečnosti, ktoré sú vhodné pre akcie </w:t>
      </w:r>
      <w:r w:rsidRPr="005940BE">
        <w:rPr>
          <w:rFonts w:ascii="Garamond" w:hAnsi="Garamond"/>
          <w:b/>
          <w:szCs w:val="24"/>
        </w:rPr>
        <w:t>oblastného (</w:t>
      </w:r>
      <w:r w:rsidRPr="005940BE">
        <w:rPr>
          <w:rFonts w:ascii="Garamond" w:hAnsi="Garamond"/>
          <w:szCs w:val="24"/>
        </w:rPr>
        <w:t>regionálneho</w:t>
      </w:r>
      <w:r w:rsidRPr="005940BE">
        <w:rPr>
          <w:rFonts w:ascii="Garamond" w:hAnsi="Garamond"/>
          <w:b/>
          <w:szCs w:val="24"/>
        </w:rPr>
        <w:t>) charakteru</w:t>
      </w:r>
      <w:r w:rsidRPr="005940BE">
        <w:rPr>
          <w:rFonts w:ascii="Garamond" w:hAnsi="Garamond"/>
          <w:szCs w:val="24"/>
        </w:rPr>
        <w:t xml:space="preserve">, za predpokladu, že takéto dohody a orgány a ich činnosť </w:t>
      </w:r>
      <w:r w:rsidRPr="005940BE">
        <w:rPr>
          <w:rFonts w:ascii="Garamond" w:hAnsi="Garamond"/>
          <w:b/>
          <w:szCs w:val="24"/>
        </w:rPr>
        <w:t>sú zlučiteľné s cieľmi a zásadami OSN (</w:t>
      </w:r>
      <w:r w:rsidRPr="005940BE">
        <w:rPr>
          <w:rFonts w:ascii="Garamond" w:hAnsi="Garamond"/>
          <w:szCs w:val="24"/>
        </w:rPr>
        <w:t>pozri Preambulu ako aj článok 1 a 2 Charty OSN</w:t>
      </w:r>
      <w:r w:rsidRPr="005940BE">
        <w:rPr>
          <w:rFonts w:ascii="Garamond" w:hAnsi="Garamond"/>
          <w:b/>
          <w:szCs w:val="24"/>
        </w:rPr>
        <w:t>)</w:t>
      </w:r>
      <w:r w:rsidRPr="005940BE">
        <w:rPr>
          <w:rFonts w:ascii="Garamond" w:hAnsi="Garamond"/>
          <w:szCs w:val="24"/>
        </w:rPr>
        <w:t>.</w:t>
      </w:r>
    </w:p>
    <w:p w:rsidR="00F6178F" w:rsidRPr="005940BE" w:rsidRDefault="00F6178F" w:rsidP="00065FB0">
      <w:pPr>
        <w:pStyle w:val="Odsekzoznamu"/>
        <w:tabs>
          <w:tab w:val="left" w:pos="284"/>
        </w:tabs>
        <w:ind w:left="0"/>
        <w:rPr>
          <w:rFonts w:ascii="Garamond" w:hAnsi="Garamond"/>
          <w:szCs w:val="24"/>
        </w:rPr>
      </w:pPr>
    </w:p>
    <w:p w:rsidR="00F6178F" w:rsidRPr="005940BE" w:rsidRDefault="00F6178F" w:rsidP="00065FB0">
      <w:pPr>
        <w:pStyle w:val="Odsekzoznamu"/>
        <w:tabs>
          <w:tab w:val="left" w:pos="284"/>
        </w:tabs>
        <w:ind w:left="0"/>
        <w:rPr>
          <w:rFonts w:ascii="Garamond" w:hAnsi="Garamond"/>
          <w:szCs w:val="24"/>
        </w:rPr>
      </w:pPr>
      <w:r w:rsidRPr="005940BE">
        <w:rPr>
          <w:rFonts w:ascii="Garamond" w:hAnsi="Garamond"/>
          <w:b/>
          <w:szCs w:val="24"/>
        </w:rPr>
        <w:t xml:space="preserve">Článok 53 Charty OSN: </w:t>
      </w:r>
      <w:r w:rsidRPr="005940BE">
        <w:rPr>
          <w:rFonts w:ascii="Garamond" w:hAnsi="Garamond"/>
          <w:szCs w:val="24"/>
        </w:rPr>
        <w:t xml:space="preserve">Použiteľnosť oblastných dohôd a orgánov </w:t>
      </w:r>
      <w:r w:rsidRPr="005940BE">
        <w:rPr>
          <w:rFonts w:ascii="Garamond" w:hAnsi="Garamond"/>
          <w:b/>
          <w:szCs w:val="24"/>
        </w:rPr>
        <w:t xml:space="preserve">Bezpečnostnou radou </w:t>
      </w:r>
      <w:r w:rsidRPr="005940BE">
        <w:rPr>
          <w:rFonts w:ascii="Garamond" w:hAnsi="Garamond"/>
          <w:szCs w:val="24"/>
        </w:rPr>
        <w:t xml:space="preserve">na donucovacie akcie. Splnomocnenie BR OSN je </w:t>
      </w:r>
      <w:r w:rsidRPr="005940BE">
        <w:rPr>
          <w:rFonts w:ascii="Garamond" w:hAnsi="Garamond"/>
          <w:b/>
          <w:szCs w:val="24"/>
        </w:rPr>
        <w:t>obligatórne</w:t>
      </w:r>
      <w:r w:rsidRPr="005940BE">
        <w:rPr>
          <w:rFonts w:ascii="Garamond" w:hAnsi="Garamond"/>
          <w:szCs w:val="24"/>
        </w:rPr>
        <w:t>. Charta OSN predp</w:t>
      </w:r>
      <w:r w:rsidR="00E91F65" w:rsidRPr="005940BE">
        <w:rPr>
          <w:rFonts w:ascii="Garamond" w:hAnsi="Garamond"/>
          <w:szCs w:val="24"/>
        </w:rPr>
        <w:t xml:space="preserve">okladá, vzájomnú informovanosť </w:t>
      </w:r>
      <w:r w:rsidRPr="005940BE">
        <w:rPr>
          <w:rFonts w:ascii="Garamond" w:hAnsi="Garamond"/>
          <w:szCs w:val="24"/>
        </w:rPr>
        <w:t>medzi regionálnymi dohodami/orgánmi a</w:t>
      </w:r>
      <w:r w:rsidR="00E91F65" w:rsidRPr="005940BE">
        <w:rPr>
          <w:rFonts w:ascii="Garamond" w:hAnsi="Garamond"/>
          <w:szCs w:val="24"/>
        </w:rPr>
        <w:t> </w:t>
      </w:r>
      <w:r w:rsidRPr="005940BE">
        <w:rPr>
          <w:rFonts w:ascii="Garamond" w:hAnsi="Garamond"/>
          <w:szCs w:val="24"/>
        </w:rPr>
        <w:t>OSN</w:t>
      </w:r>
      <w:r w:rsidR="00E91F65" w:rsidRPr="005940BE">
        <w:rPr>
          <w:rFonts w:ascii="Garamond" w:hAnsi="Garamond"/>
          <w:szCs w:val="24"/>
        </w:rPr>
        <w:t xml:space="preserve"> (článok 54 Charty)</w:t>
      </w:r>
      <w:r w:rsidRPr="005940BE">
        <w:rPr>
          <w:rFonts w:ascii="Garamond" w:hAnsi="Garamond"/>
          <w:szCs w:val="24"/>
        </w:rPr>
        <w:t>.</w:t>
      </w:r>
    </w:p>
    <w:p w:rsidR="00E91F65" w:rsidRPr="005940BE" w:rsidRDefault="00E91F65" w:rsidP="00065FB0">
      <w:pPr>
        <w:pStyle w:val="Odsekzoznamu"/>
        <w:tabs>
          <w:tab w:val="left" w:pos="284"/>
        </w:tabs>
        <w:ind w:left="0"/>
        <w:rPr>
          <w:rFonts w:ascii="Garamond" w:hAnsi="Garamond"/>
          <w:szCs w:val="24"/>
        </w:rPr>
      </w:pPr>
    </w:p>
    <w:p w:rsidR="00E91F65" w:rsidRPr="005940BE" w:rsidRDefault="00E91F65" w:rsidP="00065FB0">
      <w:pPr>
        <w:pStyle w:val="Odsekzoznamu"/>
        <w:tabs>
          <w:tab w:val="left" w:pos="284"/>
        </w:tabs>
        <w:ind w:left="0"/>
        <w:rPr>
          <w:rFonts w:ascii="Garamond" w:hAnsi="Garamond"/>
          <w:szCs w:val="24"/>
        </w:rPr>
      </w:pPr>
      <w:r w:rsidRPr="005940BE">
        <w:rPr>
          <w:rFonts w:ascii="Garamond" w:hAnsi="Garamond"/>
          <w:szCs w:val="24"/>
        </w:rPr>
        <w:t>Charta OSN predpokladá podriadenosť regionálnych organizácií Bezpečnostnej rade.</w:t>
      </w:r>
    </w:p>
    <w:p w:rsidR="00E91F65" w:rsidRDefault="00E91F65" w:rsidP="00065FB0">
      <w:pPr>
        <w:pStyle w:val="Odsekzoznamu"/>
        <w:tabs>
          <w:tab w:val="left" w:pos="284"/>
        </w:tabs>
        <w:ind w:left="0"/>
        <w:rPr>
          <w:rFonts w:ascii="Garamond" w:hAnsi="Garamond"/>
          <w:b/>
          <w:szCs w:val="24"/>
        </w:rPr>
      </w:pPr>
      <w:r w:rsidRPr="005940BE">
        <w:rPr>
          <w:rFonts w:ascii="Garamond" w:hAnsi="Garamond"/>
          <w:szCs w:val="24"/>
        </w:rPr>
        <w:t xml:space="preserve">Možnosť iniciatívneho postupu regionálnej organizácie </w:t>
      </w:r>
      <w:r w:rsidR="008A1D7F">
        <w:rPr>
          <w:rFonts w:ascii="Garamond" w:hAnsi="Garamond"/>
          <w:szCs w:val="24"/>
        </w:rPr>
        <w:t xml:space="preserve">je otázna </w:t>
      </w:r>
      <w:r w:rsidRPr="005940BE">
        <w:rPr>
          <w:rFonts w:ascii="Garamond" w:hAnsi="Garamond"/>
          <w:szCs w:val="24"/>
        </w:rPr>
        <w:t xml:space="preserve">– </w:t>
      </w:r>
      <w:r w:rsidR="008A1D7F">
        <w:rPr>
          <w:rFonts w:ascii="Garamond" w:hAnsi="Garamond"/>
          <w:szCs w:val="24"/>
        </w:rPr>
        <w:t xml:space="preserve">v praxi sa môže uplatniť </w:t>
      </w:r>
      <w:r w:rsidRPr="005940BE">
        <w:rPr>
          <w:rFonts w:ascii="Garamond" w:hAnsi="Garamond"/>
          <w:b/>
          <w:szCs w:val="24"/>
        </w:rPr>
        <w:t>v prípade neakcieschopnosti Bezpečnostnej rady.</w:t>
      </w:r>
    </w:p>
    <w:p w:rsidR="008A1D7F" w:rsidRDefault="008A1D7F" w:rsidP="00065FB0">
      <w:pPr>
        <w:pStyle w:val="Odsekzoznamu"/>
        <w:tabs>
          <w:tab w:val="left" w:pos="284"/>
        </w:tabs>
        <w:ind w:left="0"/>
        <w:rPr>
          <w:rFonts w:ascii="Garamond" w:hAnsi="Garamond"/>
          <w:b/>
          <w:szCs w:val="24"/>
        </w:rPr>
      </w:pPr>
    </w:p>
    <w:p w:rsidR="008A1D7F" w:rsidRPr="005940BE" w:rsidRDefault="008A1D7F" w:rsidP="008A1D7F">
      <w:pPr>
        <w:tabs>
          <w:tab w:val="left" w:pos="284"/>
        </w:tabs>
        <w:rPr>
          <w:rFonts w:ascii="Garamond" w:hAnsi="Garamond"/>
          <w:bCs/>
          <w:szCs w:val="24"/>
        </w:rPr>
      </w:pPr>
      <w:r w:rsidRPr="005940BE">
        <w:rPr>
          <w:rFonts w:ascii="Garamond" w:hAnsi="Garamond"/>
          <w:bCs/>
          <w:szCs w:val="24"/>
        </w:rPr>
        <w:t xml:space="preserve">Problémom je oprávnenie na intervenciu regionálnej organizácie v rámci </w:t>
      </w:r>
      <w:r>
        <w:rPr>
          <w:rFonts w:ascii="Garamond" w:hAnsi="Garamond"/>
          <w:bCs/>
          <w:i/>
          <w:szCs w:val="24"/>
        </w:rPr>
        <w:t xml:space="preserve">svojho </w:t>
      </w:r>
      <w:r w:rsidRPr="005940BE">
        <w:rPr>
          <w:rFonts w:ascii="Garamond" w:hAnsi="Garamond"/>
          <w:bCs/>
          <w:szCs w:val="24"/>
        </w:rPr>
        <w:t xml:space="preserve">regiónu. Možno pripomenúť, že operácie ECOWAS v Libérií a Sierra Leone, ktoré sa začali bez autorizácie Bezpečnostnej rady, začali na podnet prezidentov týchto krajín, pričom autorizácia BR OSN prišla až </w:t>
      </w:r>
      <w:r w:rsidRPr="005940BE">
        <w:rPr>
          <w:rFonts w:ascii="Garamond" w:hAnsi="Garamond"/>
          <w:bCs/>
          <w:i/>
          <w:szCs w:val="24"/>
        </w:rPr>
        <w:t>ex post</w:t>
      </w:r>
      <w:r w:rsidRPr="005940BE">
        <w:rPr>
          <w:rFonts w:ascii="Garamond" w:hAnsi="Garamond"/>
          <w:bCs/>
          <w:szCs w:val="24"/>
        </w:rPr>
        <w:t xml:space="preserve">. Obdobne aj v roku 2012 počas eskalácie krízy v Mali boli sily štátov ECOWAS nasadené na žiadosť vlády (ECOWAS následne žiadalo o autorizáciu OSN). </w:t>
      </w:r>
    </w:p>
    <w:p w:rsidR="008A1D7F" w:rsidRPr="005940BE" w:rsidRDefault="008A1D7F" w:rsidP="008A1D7F">
      <w:pPr>
        <w:tabs>
          <w:tab w:val="left" w:pos="284"/>
        </w:tabs>
        <w:rPr>
          <w:rFonts w:ascii="Garamond" w:hAnsi="Garamond"/>
          <w:b/>
          <w:bCs/>
          <w:szCs w:val="24"/>
        </w:rPr>
      </w:pPr>
    </w:p>
    <w:p w:rsidR="00E91F65" w:rsidRDefault="00E91F65" w:rsidP="008A1D7F">
      <w:pPr>
        <w:pStyle w:val="Odsekzoznamu"/>
        <w:numPr>
          <w:ilvl w:val="0"/>
          <w:numId w:val="1"/>
        </w:numPr>
        <w:tabs>
          <w:tab w:val="left" w:pos="284"/>
        </w:tabs>
        <w:rPr>
          <w:rFonts w:ascii="Garamond" w:hAnsi="Garamond"/>
          <w:b/>
          <w:szCs w:val="24"/>
          <w:u w:val="single"/>
        </w:rPr>
      </w:pPr>
      <w:r w:rsidRPr="008A1D7F">
        <w:rPr>
          <w:rFonts w:ascii="Garamond" w:hAnsi="Garamond"/>
          <w:b/>
          <w:szCs w:val="24"/>
          <w:u w:val="single"/>
        </w:rPr>
        <w:t>Výkon opatrení podľa článku 41 Charty (</w:t>
      </w:r>
      <w:r w:rsidR="00AA60FA" w:rsidRPr="008A1D7F">
        <w:rPr>
          <w:rFonts w:ascii="Garamond" w:hAnsi="Garamond"/>
          <w:b/>
          <w:szCs w:val="24"/>
          <w:u w:val="single"/>
        </w:rPr>
        <w:t>opatrenia bez použitia sily)</w:t>
      </w:r>
    </w:p>
    <w:p w:rsidR="008A1D7F" w:rsidRPr="008A1D7F" w:rsidRDefault="008A1D7F" w:rsidP="008A1D7F">
      <w:pPr>
        <w:pStyle w:val="Odsekzoznamu"/>
        <w:tabs>
          <w:tab w:val="left" w:pos="284"/>
        </w:tabs>
        <w:rPr>
          <w:rFonts w:ascii="Garamond" w:hAnsi="Garamond"/>
          <w:b/>
          <w:szCs w:val="24"/>
          <w:u w:val="single"/>
        </w:rPr>
      </w:pPr>
    </w:p>
    <w:p w:rsidR="00AA60FA" w:rsidRPr="005940BE" w:rsidRDefault="00AA60FA" w:rsidP="00065FB0">
      <w:pPr>
        <w:pStyle w:val="Odsekzoznamu"/>
        <w:tabs>
          <w:tab w:val="left" w:pos="284"/>
        </w:tabs>
        <w:ind w:left="0"/>
        <w:rPr>
          <w:rFonts w:ascii="Garamond" w:hAnsi="Garamond"/>
          <w:szCs w:val="24"/>
        </w:rPr>
      </w:pPr>
      <w:r w:rsidRPr="005940BE">
        <w:rPr>
          <w:rFonts w:ascii="Garamond" w:hAnsi="Garamond"/>
          <w:szCs w:val="24"/>
        </w:rPr>
        <w:t xml:space="preserve">Opatrenia podľa článku 41 zahŕňajú rôzne formy zásahov – Charta OSN demonštratívne vymedzuje </w:t>
      </w:r>
      <w:r w:rsidR="008403A2" w:rsidRPr="005940BE">
        <w:rPr>
          <w:rFonts w:ascii="Garamond" w:hAnsi="Garamond"/>
          <w:szCs w:val="24"/>
        </w:rPr>
        <w:t xml:space="preserve">najmä </w:t>
      </w:r>
      <w:r w:rsidR="008403A2" w:rsidRPr="005940BE">
        <w:rPr>
          <w:rFonts w:ascii="Garamond" w:hAnsi="Garamond"/>
          <w:b/>
          <w:szCs w:val="24"/>
        </w:rPr>
        <w:t>prerušenie hospodárskych stykov</w:t>
      </w:r>
      <w:r w:rsidR="008403A2" w:rsidRPr="005940BE">
        <w:rPr>
          <w:rFonts w:ascii="Garamond" w:hAnsi="Garamond"/>
          <w:szCs w:val="24"/>
        </w:rPr>
        <w:t xml:space="preserve">, prerušenie spojov, či prerušenie diplomatických stykov. Do tejto kategórie možno zaradiť aj </w:t>
      </w:r>
      <w:r w:rsidR="008403A2" w:rsidRPr="005940BE">
        <w:rPr>
          <w:rFonts w:ascii="Garamond" w:hAnsi="Garamond"/>
          <w:b/>
          <w:szCs w:val="24"/>
        </w:rPr>
        <w:t>cielené (</w:t>
      </w:r>
      <w:r w:rsidR="008403A2" w:rsidRPr="005940BE">
        <w:rPr>
          <w:rFonts w:ascii="Garamond" w:hAnsi="Garamond"/>
          <w:b/>
          <w:i/>
          <w:szCs w:val="24"/>
        </w:rPr>
        <w:t>targeted</w:t>
      </w:r>
      <w:r w:rsidR="008403A2" w:rsidRPr="005940BE">
        <w:rPr>
          <w:rFonts w:ascii="Garamond" w:hAnsi="Garamond"/>
          <w:b/>
          <w:szCs w:val="24"/>
        </w:rPr>
        <w:t>)</w:t>
      </w:r>
      <w:r w:rsidR="008403A2" w:rsidRPr="005940BE">
        <w:rPr>
          <w:rFonts w:ascii="Garamond" w:hAnsi="Garamond"/>
          <w:szCs w:val="24"/>
        </w:rPr>
        <w:t>, resp. intelegentné (</w:t>
      </w:r>
      <w:r w:rsidR="008403A2" w:rsidRPr="005940BE">
        <w:rPr>
          <w:rFonts w:ascii="Garamond" w:hAnsi="Garamond"/>
          <w:i/>
          <w:szCs w:val="24"/>
        </w:rPr>
        <w:t>smart</w:t>
      </w:r>
      <w:r w:rsidR="008403A2" w:rsidRPr="005940BE">
        <w:rPr>
          <w:rFonts w:ascii="Garamond" w:hAnsi="Garamond"/>
          <w:szCs w:val="24"/>
        </w:rPr>
        <w:t>) sankcie.</w:t>
      </w:r>
    </w:p>
    <w:p w:rsidR="00807E19" w:rsidRPr="005940BE" w:rsidRDefault="00807E19" w:rsidP="00065FB0">
      <w:pPr>
        <w:pStyle w:val="Odsekzoznamu"/>
        <w:tabs>
          <w:tab w:val="left" w:pos="284"/>
        </w:tabs>
        <w:ind w:left="0"/>
        <w:rPr>
          <w:rFonts w:ascii="Garamond" w:hAnsi="Garamond"/>
          <w:szCs w:val="24"/>
        </w:rPr>
      </w:pPr>
      <w:r w:rsidRPr="005940BE">
        <w:rPr>
          <w:rFonts w:ascii="Garamond" w:hAnsi="Garamond"/>
          <w:szCs w:val="24"/>
        </w:rPr>
        <w:t xml:space="preserve">Ide o druh sankcií, ktoré sú namierené proti konkrétnym osobám – teda vládnym činiteľom, právnickým či fyzickým osobám, ktoré sú napojené na režimy, ktoré sú adresátom sankcií, prípadne finančne či inak podporujú režimy, ktoré svojou politikou ohrozujú medzinárodný mier a bezpečnosť. To platí osobitne o osobách napojených na </w:t>
      </w:r>
      <w:r w:rsidRPr="005940BE">
        <w:rPr>
          <w:rFonts w:ascii="Garamond" w:hAnsi="Garamond"/>
          <w:b/>
          <w:szCs w:val="24"/>
        </w:rPr>
        <w:t>siete medzinárodného terorizmu</w:t>
      </w:r>
      <w:r w:rsidRPr="005940BE">
        <w:rPr>
          <w:rFonts w:ascii="Garamond" w:hAnsi="Garamond"/>
          <w:szCs w:val="24"/>
        </w:rPr>
        <w:t>.</w:t>
      </w:r>
      <w:r w:rsidRPr="005940BE">
        <w:rPr>
          <w:rStyle w:val="Odkaznapoznmkupodiarou"/>
          <w:rFonts w:ascii="Garamond" w:hAnsi="Garamond"/>
          <w:szCs w:val="24"/>
        </w:rPr>
        <w:footnoteReference w:id="1"/>
      </w:r>
    </w:p>
    <w:p w:rsidR="00A145E0" w:rsidRDefault="00A145E0" w:rsidP="00065FB0">
      <w:pPr>
        <w:pStyle w:val="Odsekzoznamu"/>
        <w:tabs>
          <w:tab w:val="left" w:pos="284"/>
        </w:tabs>
        <w:ind w:left="0"/>
        <w:rPr>
          <w:rFonts w:ascii="Garamond" w:hAnsi="Garamond"/>
          <w:szCs w:val="24"/>
        </w:rPr>
      </w:pPr>
    </w:p>
    <w:p w:rsidR="008A1D7F" w:rsidRPr="005940BE" w:rsidRDefault="008A1D7F" w:rsidP="008A1D7F">
      <w:pPr>
        <w:pStyle w:val="Odsekzoznamu"/>
        <w:numPr>
          <w:ilvl w:val="0"/>
          <w:numId w:val="1"/>
        </w:numPr>
        <w:tabs>
          <w:tab w:val="left" w:pos="284"/>
        </w:tabs>
        <w:ind w:left="284" w:hanging="284"/>
        <w:rPr>
          <w:rFonts w:ascii="Garamond" w:hAnsi="Garamond"/>
          <w:b/>
          <w:bCs/>
          <w:szCs w:val="24"/>
          <w:u w:val="single"/>
        </w:rPr>
      </w:pPr>
      <w:r w:rsidRPr="005940BE">
        <w:rPr>
          <w:rFonts w:ascii="Garamond" w:hAnsi="Garamond"/>
          <w:b/>
          <w:bCs/>
          <w:szCs w:val="24"/>
          <w:u w:val="single"/>
        </w:rPr>
        <w:t>Opatrenia podľa článku 42 Charty OSN</w:t>
      </w:r>
    </w:p>
    <w:p w:rsidR="008A1D7F" w:rsidRPr="005940BE" w:rsidRDefault="008A1D7F" w:rsidP="008A1D7F">
      <w:pPr>
        <w:tabs>
          <w:tab w:val="left" w:pos="284"/>
        </w:tabs>
        <w:rPr>
          <w:rFonts w:ascii="Garamond" w:hAnsi="Garamond"/>
          <w:bCs/>
          <w:szCs w:val="24"/>
        </w:rPr>
      </w:pPr>
    </w:p>
    <w:p w:rsidR="008A1D7F" w:rsidRPr="005940BE" w:rsidRDefault="008A1D7F" w:rsidP="008A1D7F">
      <w:pPr>
        <w:tabs>
          <w:tab w:val="left" w:pos="284"/>
        </w:tabs>
        <w:rPr>
          <w:rFonts w:ascii="Garamond" w:hAnsi="Garamond"/>
          <w:bCs/>
          <w:szCs w:val="24"/>
        </w:rPr>
      </w:pPr>
      <w:r w:rsidRPr="005940BE">
        <w:rPr>
          <w:rFonts w:ascii="Garamond" w:hAnsi="Garamond"/>
          <w:bCs/>
          <w:szCs w:val="24"/>
        </w:rPr>
        <w:t xml:space="preserve">Opatrenia podľa článku 42 Charty OSN sú prijímané v momente, ak by opatrenia podľa článku 41 neboli dostatočne účinné a zahŕňajú </w:t>
      </w:r>
    </w:p>
    <w:p w:rsidR="008A1D7F" w:rsidRPr="005940BE" w:rsidRDefault="008A1D7F" w:rsidP="008A1D7F">
      <w:pPr>
        <w:tabs>
          <w:tab w:val="left" w:pos="284"/>
        </w:tabs>
        <w:rPr>
          <w:rFonts w:ascii="Garamond" w:hAnsi="Garamond"/>
          <w:bCs/>
          <w:szCs w:val="24"/>
        </w:rPr>
      </w:pPr>
    </w:p>
    <w:p w:rsidR="008A1D7F" w:rsidRPr="005940BE" w:rsidRDefault="008A1D7F" w:rsidP="008A1D7F">
      <w:pPr>
        <w:tabs>
          <w:tab w:val="left" w:pos="284"/>
        </w:tabs>
        <w:rPr>
          <w:rFonts w:ascii="Garamond" w:hAnsi="Garamond"/>
          <w:bCs/>
          <w:szCs w:val="24"/>
        </w:rPr>
      </w:pPr>
      <w:r w:rsidRPr="005940BE">
        <w:rPr>
          <w:rFonts w:ascii="Garamond" w:hAnsi="Garamond"/>
          <w:bCs/>
          <w:szCs w:val="24"/>
        </w:rPr>
        <w:t>Základným východiskom medzinárodnej úpravy udržania medzinárodného mieru a bezpečnosti je výsadné postavenie Bezpečnostnej rady OSN v systéme medzinárodnej bezpečnosti.</w:t>
      </w:r>
    </w:p>
    <w:p w:rsidR="008A1D7F" w:rsidRPr="005940BE" w:rsidRDefault="008A1D7F" w:rsidP="008A1D7F">
      <w:pPr>
        <w:tabs>
          <w:tab w:val="left" w:pos="284"/>
        </w:tabs>
        <w:rPr>
          <w:rFonts w:ascii="Garamond" w:hAnsi="Garamond"/>
          <w:bCs/>
          <w:szCs w:val="24"/>
        </w:rPr>
      </w:pPr>
      <w:r w:rsidRPr="005940BE">
        <w:rPr>
          <w:rFonts w:ascii="Garamond" w:hAnsi="Garamond"/>
          <w:bCs/>
          <w:szCs w:val="24"/>
        </w:rPr>
        <w:lastRenderedPageBreak/>
        <w:t xml:space="preserve">Čo sa týka medzinárodnej bezpečnosti, aktivity regionálnych zoskupení, pozorujeme vo zvýšenej miere </w:t>
      </w:r>
      <w:r w:rsidRPr="005940BE">
        <w:rPr>
          <w:rFonts w:ascii="Garamond" w:hAnsi="Garamond"/>
          <w:b/>
          <w:bCs/>
          <w:szCs w:val="24"/>
        </w:rPr>
        <w:t>od druhej polovice deväťdesiatych rokov minulého storočia</w:t>
      </w:r>
      <w:r w:rsidRPr="005940BE">
        <w:rPr>
          <w:rFonts w:ascii="Garamond" w:hAnsi="Garamond"/>
          <w:bCs/>
          <w:szCs w:val="24"/>
        </w:rPr>
        <w:t>.</w:t>
      </w:r>
      <w:r w:rsidRPr="005940BE">
        <w:rPr>
          <w:rFonts w:ascii="Garamond" w:hAnsi="Garamond"/>
          <w:bCs/>
          <w:szCs w:val="24"/>
          <w:vertAlign w:val="superscript"/>
        </w:rPr>
        <w:footnoteReference w:id="2"/>
      </w:r>
      <w:r w:rsidRPr="005940BE">
        <w:rPr>
          <w:rFonts w:ascii="Garamond" w:hAnsi="Garamond"/>
          <w:bCs/>
          <w:szCs w:val="24"/>
        </w:rPr>
        <w:t xml:space="preserve"> </w:t>
      </w:r>
    </w:p>
    <w:p w:rsidR="008A1D7F" w:rsidRPr="005940BE" w:rsidRDefault="008A1D7F" w:rsidP="008A1D7F">
      <w:pPr>
        <w:tabs>
          <w:tab w:val="left" w:pos="284"/>
        </w:tabs>
        <w:rPr>
          <w:rFonts w:ascii="Garamond" w:hAnsi="Garamond"/>
          <w:bCs/>
          <w:szCs w:val="24"/>
        </w:rPr>
      </w:pPr>
    </w:p>
    <w:p w:rsidR="008A1D7F" w:rsidRPr="005940BE" w:rsidRDefault="008A1D7F" w:rsidP="008A1D7F">
      <w:pPr>
        <w:tabs>
          <w:tab w:val="left" w:pos="284"/>
        </w:tabs>
        <w:rPr>
          <w:rFonts w:ascii="Garamond" w:hAnsi="Garamond"/>
          <w:bCs/>
          <w:szCs w:val="24"/>
        </w:rPr>
      </w:pPr>
      <w:r w:rsidRPr="005940BE">
        <w:rPr>
          <w:rFonts w:ascii="Garamond" w:hAnsi="Garamond"/>
          <w:bCs/>
          <w:szCs w:val="24"/>
        </w:rPr>
        <w:t>Príklon k regionalizácií v bezpečnostných otázkach nie je na medzinárodnej scéne úplne nový. Medzinárodné spoločenstvo však pri vytváraní OSN, koncom 2. svetovej vojny naznačilo vôľu túto oblasť centralizovať. Vývoj v období Studenej vojny a najmä po jej skončení, odlišný charakter konfliktov a nové hrozby na medzinárodnej scéne vytvorili prostredie v ktorom je pôsobenie regionálnych organizácií vítané a požadované</w:t>
      </w:r>
      <w:r w:rsidRPr="005940BE">
        <w:rPr>
          <w:rFonts w:ascii="Garamond" w:hAnsi="Garamond"/>
          <w:bCs/>
          <w:szCs w:val="24"/>
          <w:vertAlign w:val="superscript"/>
        </w:rPr>
        <w:footnoteReference w:id="3"/>
      </w:r>
      <w:r w:rsidRPr="005940BE">
        <w:rPr>
          <w:rFonts w:ascii="Garamond" w:hAnsi="Garamond"/>
          <w:bCs/>
          <w:szCs w:val="24"/>
        </w:rPr>
        <w:t xml:space="preserve"> – </w:t>
      </w:r>
      <w:r w:rsidRPr="005940BE">
        <w:rPr>
          <w:rFonts w:ascii="Garamond" w:hAnsi="Garamond"/>
          <w:b/>
          <w:bCs/>
          <w:szCs w:val="24"/>
        </w:rPr>
        <w:t>najmä kvôli prevažovaniu vnútorných konfliktov a tzv. „anarchických konfliktov</w:t>
      </w:r>
      <w:r w:rsidRPr="005940BE">
        <w:rPr>
          <w:rFonts w:ascii="Garamond" w:hAnsi="Garamond"/>
          <w:bCs/>
          <w:szCs w:val="24"/>
        </w:rPr>
        <w:t>.</w:t>
      </w:r>
      <w:r w:rsidRPr="005940BE">
        <w:rPr>
          <w:rStyle w:val="Odkaznapoznmkupodiarou"/>
          <w:rFonts w:ascii="Garamond" w:hAnsi="Garamond"/>
          <w:bCs/>
          <w:szCs w:val="24"/>
        </w:rPr>
        <w:footnoteReference w:id="4"/>
      </w:r>
    </w:p>
    <w:p w:rsidR="008A1D7F" w:rsidRPr="005940BE" w:rsidRDefault="008A1D7F" w:rsidP="008A1D7F">
      <w:pPr>
        <w:tabs>
          <w:tab w:val="left" w:pos="284"/>
        </w:tabs>
        <w:rPr>
          <w:rFonts w:ascii="Garamond" w:hAnsi="Garamond"/>
          <w:bCs/>
          <w:szCs w:val="24"/>
        </w:rPr>
      </w:pPr>
    </w:p>
    <w:p w:rsidR="008A1D7F" w:rsidRPr="005940BE" w:rsidRDefault="008A1D7F" w:rsidP="008A1D7F">
      <w:pPr>
        <w:tabs>
          <w:tab w:val="left" w:pos="284"/>
        </w:tabs>
        <w:rPr>
          <w:rFonts w:ascii="Garamond" w:hAnsi="Garamond"/>
          <w:bCs/>
          <w:szCs w:val="24"/>
        </w:rPr>
      </w:pPr>
      <w:r w:rsidRPr="005940BE">
        <w:rPr>
          <w:rFonts w:ascii="Garamond" w:hAnsi="Garamond"/>
          <w:b/>
          <w:bCs/>
          <w:szCs w:val="24"/>
        </w:rPr>
        <w:t xml:space="preserve">Pojem kolektívna bezpečnosť </w:t>
      </w:r>
      <w:r w:rsidRPr="005940BE">
        <w:rPr>
          <w:rFonts w:ascii="Garamond" w:hAnsi="Garamond"/>
          <w:bCs/>
          <w:szCs w:val="24"/>
        </w:rPr>
        <w:t xml:space="preserve">je širší ako pojem </w:t>
      </w:r>
      <w:r w:rsidRPr="005940BE">
        <w:rPr>
          <w:rFonts w:ascii="Garamond" w:hAnsi="Garamond"/>
          <w:b/>
          <w:bCs/>
          <w:szCs w:val="24"/>
        </w:rPr>
        <w:t xml:space="preserve">sebaobrany – </w:t>
      </w:r>
      <w:r w:rsidRPr="005940BE">
        <w:rPr>
          <w:rFonts w:ascii="Garamond" w:hAnsi="Garamond"/>
          <w:bCs/>
          <w:szCs w:val="24"/>
        </w:rPr>
        <w:t xml:space="preserve">nezahrňuje </w:t>
      </w:r>
      <w:r w:rsidRPr="005940BE">
        <w:rPr>
          <w:rFonts w:ascii="Garamond" w:hAnsi="Garamond"/>
          <w:b/>
          <w:bCs/>
          <w:szCs w:val="24"/>
        </w:rPr>
        <w:t>iba sebaobranu ale bezpečnosť ako takú</w:t>
      </w:r>
      <w:r w:rsidRPr="005940BE">
        <w:rPr>
          <w:rFonts w:ascii="Garamond" w:hAnsi="Garamond"/>
          <w:bCs/>
          <w:szCs w:val="24"/>
        </w:rPr>
        <w:t xml:space="preserve">. </w:t>
      </w:r>
    </w:p>
    <w:p w:rsidR="008A1D7F" w:rsidRPr="005940BE" w:rsidRDefault="008A1D7F" w:rsidP="008A1D7F">
      <w:pPr>
        <w:tabs>
          <w:tab w:val="left" w:pos="284"/>
        </w:tabs>
        <w:rPr>
          <w:rFonts w:ascii="Garamond" w:hAnsi="Garamond"/>
          <w:bCs/>
          <w:szCs w:val="24"/>
        </w:rPr>
      </w:pPr>
    </w:p>
    <w:p w:rsidR="008A1D7F" w:rsidRPr="005940BE" w:rsidRDefault="008A1D7F" w:rsidP="008A1D7F">
      <w:pPr>
        <w:tabs>
          <w:tab w:val="left" w:pos="284"/>
        </w:tabs>
        <w:rPr>
          <w:rFonts w:ascii="Garamond" w:hAnsi="Garamond"/>
          <w:bCs/>
          <w:szCs w:val="24"/>
        </w:rPr>
      </w:pPr>
      <w:r w:rsidRPr="005940BE">
        <w:rPr>
          <w:rFonts w:ascii="Garamond" w:hAnsi="Garamond"/>
          <w:bCs/>
          <w:szCs w:val="24"/>
        </w:rPr>
        <w:t xml:space="preserve">Nevyhnutnou je potreba vytvárania organizácií v rámci regiónov. V Afrike možno napríklad pozorovať  modelovú situáciu vo vzťahu regionálnej organizácie (AU), ktorá sa vymedzuje ako nositeľ primárnej zodpovednosti za bezpečnosť na africkom kontinente a subregionálnej organizácie v úzkej súčinnosti s OSN. </w:t>
      </w:r>
    </w:p>
    <w:p w:rsidR="008A1D7F" w:rsidRPr="005940BE" w:rsidRDefault="008A1D7F" w:rsidP="008A1D7F">
      <w:pPr>
        <w:tabs>
          <w:tab w:val="left" w:pos="284"/>
        </w:tabs>
        <w:rPr>
          <w:rFonts w:ascii="Garamond" w:hAnsi="Garamond"/>
          <w:bCs/>
          <w:szCs w:val="24"/>
        </w:rPr>
      </w:pPr>
      <w:r w:rsidRPr="005940BE">
        <w:rPr>
          <w:rFonts w:ascii="Garamond" w:hAnsi="Garamond"/>
          <w:bCs/>
          <w:szCs w:val="24"/>
        </w:rPr>
        <w:t>Na druhej strane existuje subregionálna organizácia (ECOWAS), ktorá vytvára bezpečnostné štruktúry a zároveň deklaruje, súčinnosť tak s AU ako aj s OSN.</w:t>
      </w:r>
      <w:r w:rsidRPr="005940BE">
        <w:rPr>
          <w:rFonts w:ascii="Garamond" w:hAnsi="Garamond"/>
          <w:bCs/>
          <w:szCs w:val="24"/>
          <w:vertAlign w:val="superscript"/>
        </w:rPr>
        <w:footnoteReference w:id="5"/>
      </w:r>
      <w:r w:rsidRPr="005940BE">
        <w:rPr>
          <w:rFonts w:ascii="Garamond" w:hAnsi="Garamond"/>
          <w:bCs/>
          <w:szCs w:val="24"/>
        </w:rPr>
        <w:t xml:space="preserve"> </w:t>
      </w:r>
    </w:p>
    <w:p w:rsidR="008A1D7F" w:rsidRPr="005940BE" w:rsidRDefault="008A1D7F" w:rsidP="008A1D7F">
      <w:pPr>
        <w:tabs>
          <w:tab w:val="left" w:pos="284"/>
        </w:tabs>
        <w:rPr>
          <w:rFonts w:ascii="Garamond" w:hAnsi="Garamond"/>
          <w:bCs/>
          <w:szCs w:val="24"/>
        </w:rPr>
      </w:pPr>
    </w:p>
    <w:p w:rsidR="008A1D7F" w:rsidRPr="005940BE" w:rsidRDefault="008A1D7F" w:rsidP="008A1D7F">
      <w:pPr>
        <w:tabs>
          <w:tab w:val="left" w:pos="284"/>
        </w:tabs>
        <w:rPr>
          <w:rFonts w:ascii="Garamond" w:hAnsi="Garamond"/>
          <w:bCs/>
          <w:szCs w:val="24"/>
        </w:rPr>
      </w:pPr>
      <w:r w:rsidRPr="005940BE">
        <w:rPr>
          <w:rFonts w:ascii="Garamond" w:hAnsi="Garamond"/>
          <w:bCs/>
          <w:szCs w:val="24"/>
        </w:rPr>
        <w:t>Osobitným aspektom je pôsobenie regionálnej organizácie mimo</w:t>
      </w:r>
      <w:r w:rsidRPr="005940BE">
        <w:rPr>
          <w:rFonts w:ascii="Garamond" w:hAnsi="Garamond"/>
          <w:bCs/>
          <w:i/>
          <w:szCs w:val="24"/>
        </w:rPr>
        <w:t xml:space="preserve"> </w:t>
      </w:r>
      <w:r w:rsidRPr="005940BE">
        <w:rPr>
          <w:rFonts w:ascii="Garamond" w:hAnsi="Garamond"/>
          <w:bCs/>
          <w:szCs w:val="24"/>
        </w:rPr>
        <w:t xml:space="preserve">regiónu v ktorom pôsobí. Kapitola VIII nijakým spôsobom neobmedzuje </w:t>
      </w:r>
      <w:r w:rsidRPr="005940BE">
        <w:rPr>
          <w:rFonts w:ascii="Garamond" w:hAnsi="Garamond"/>
          <w:b/>
          <w:bCs/>
          <w:szCs w:val="24"/>
        </w:rPr>
        <w:t>Bezpečnostnú radu v tom zmysle, že by bola oprávnená použiť oblastné orgány len v rámci regiónu v ktorom pôsobia</w:t>
      </w:r>
      <w:r w:rsidRPr="005940BE">
        <w:rPr>
          <w:rFonts w:ascii="Garamond" w:hAnsi="Garamond"/>
          <w:bCs/>
          <w:szCs w:val="24"/>
        </w:rPr>
        <w:t xml:space="preserve">. Ako príklad sa ponúka Európska únia, ktorá na základe mandátu OSN (a niekedy aj bez neho, pokiaľ ide o misie, ktoré nemajú intervenčný charakter – ak ide o misie charakter </w:t>
      </w:r>
      <w:r w:rsidRPr="005940BE">
        <w:rPr>
          <w:rFonts w:ascii="Garamond" w:hAnsi="Garamond"/>
          <w:bCs/>
          <w:i/>
          <w:szCs w:val="24"/>
        </w:rPr>
        <w:t xml:space="preserve">peacemaking </w:t>
      </w:r>
      <w:r w:rsidRPr="005940BE">
        <w:rPr>
          <w:rFonts w:ascii="Garamond" w:hAnsi="Garamond"/>
          <w:bCs/>
          <w:szCs w:val="24"/>
        </w:rPr>
        <w:t xml:space="preserve">a </w:t>
      </w:r>
      <w:r w:rsidRPr="005940BE">
        <w:rPr>
          <w:rFonts w:ascii="Garamond" w:hAnsi="Garamond"/>
          <w:bCs/>
          <w:i/>
          <w:szCs w:val="24"/>
        </w:rPr>
        <w:t>peacebuilding</w:t>
      </w:r>
      <w:r w:rsidRPr="005940BE">
        <w:rPr>
          <w:rFonts w:ascii="Garamond" w:hAnsi="Garamond"/>
          <w:bCs/>
          <w:szCs w:val="24"/>
        </w:rPr>
        <w:t xml:space="preserve">), pôsobí v rámci svojej zahraničnej a bezpečnostnej politiky (v jej rámci bezpečnostnej a obrannej politiky) aj </w:t>
      </w:r>
      <w:r w:rsidRPr="005940BE">
        <w:rPr>
          <w:rFonts w:ascii="Garamond" w:hAnsi="Garamond"/>
          <w:b/>
          <w:bCs/>
          <w:szCs w:val="24"/>
        </w:rPr>
        <w:t>mimo európskeho kontinentu</w:t>
      </w:r>
      <w:r w:rsidRPr="005940BE">
        <w:rPr>
          <w:rFonts w:ascii="Garamond" w:hAnsi="Garamond"/>
          <w:bCs/>
          <w:szCs w:val="24"/>
        </w:rPr>
        <w:t>.</w:t>
      </w:r>
      <w:r w:rsidRPr="005940BE">
        <w:rPr>
          <w:rFonts w:ascii="Garamond" w:hAnsi="Garamond"/>
          <w:bCs/>
          <w:szCs w:val="24"/>
          <w:vertAlign w:val="superscript"/>
        </w:rPr>
        <w:footnoteReference w:id="6"/>
      </w:r>
    </w:p>
    <w:p w:rsidR="008A1D7F" w:rsidRPr="005940BE" w:rsidRDefault="008A1D7F" w:rsidP="008A1D7F">
      <w:pPr>
        <w:tabs>
          <w:tab w:val="left" w:pos="284"/>
        </w:tabs>
        <w:rPr>
          <w:rFonts w:ascii="Garamond" w:hAnsi="Garamond"/>
          <w:bCs/>
          <w:szCs w:val="24"/>
        </w:rPr>
      </w:pPr>
    </w:p>
    <w:p w:rsidR="008A1D7F" w:rsidRPr="005940BE" w:rsidRDefault="008A1D7F" w:rsidP="008A1D7F">
      <w:pPr>
        <w:tabs>
          <w:tab w:val="left" w:pos="284"/>
        </w:tabs>
        <w:rPr>
          <w:rFonts w:ascii="Garamond" w:hAnsi="Garamond"/>
          <w:bCs/>
          <w:szCs w:val="24"/>
        </w:rPr>
      </w:pPr>
      <w:r w:rsidRPr="005940BE">
        <w:rPr>
          <w:rFonts w:ascii="Garamond" w:hAnsi="Garamond"/>
          <w:bCs/>
          <w:szCs w:val="24"/>
        </w:rPr>
        <w:t xml:space="preserve">Z praxe BR OSN možno vypozorovať snahu o vytváranie rôznych platforiem spolupráce a snahu o koordináciu úsilia pri presadzovaní mieru. Možno spomenút napríklad Komisiu OSN pre budovanie mieru, prípadne vytvorenie Rámca AU pre post konfliktnú rekonštrukciu a rozvoj (PCRD – </w:t>
      </w:r>
      <w:r w:rsidRPr="005940BE">
        <w:rPr>
          <w:rFonts w:ascii="Garamond" w:hAnsi="Garamond"/>
          <w:bCs/>
          <w:i/>
          <w:szCs w:val="24"/>
        </w:rPr>
        <w:t>The AU Post-Conflict Reconstruction and Development Framework</w:t>
      </w:r>
      <w:r w:rsidRPr="005940BE">
        <w:rPr>
          <w:rFonts w:ascii="Garamond" w:hAnsi="Garamond"/>
          <w:bCs/>
          <w:szCs w:val="24"/>
        </w:rPr>
        <w:t>) a Rámca ECOWAS pre prevenciu konflitkov (</w:t>
      </w:r>
      <w:r w:rsidRPr="005940BE">
        <w:rPr>
          <w:rFonts w:ascii="Garamond" w:hAnsi="Garamond"/>
          <w:bCs/>
          <w:i/>
          <w:szCs w:val="24"/>
        </w:rPr>
        <w:t>ECPF – ECOWAS Conflict Prevention Framerwork</w:t>
      </w:r>
      <w:r w:rsidRPr="005940BE">
        <w:rPr>
          <w:rFonts w:ascii="Garamond" w:hAnsi="Garamond"/>
          <w:bCs/>
          <w:szCs w:val="24"/>
        </w:rPr>
        <w:t xml:space="preserve">). Táto snaha sa následne pretavuje do aktivít zahrňajúcich spoločné pôsobenie v problematických oblastiach, ktoré sa rozvíjajú viac či menej úspešne. </w:t>
      </w:r>
    </w:p>
    <w:p w:rsidR="008A1D7F" w:rsidRPr="005940BE" w:rsidRDefault="008A1D7F" w:rsidP="008A1D7F">
      <w:pPr>
        <w:tabs>
          <w:tab w:val="left" w:pos="284"/>
        </w:tabs>
        <w:rPr>
          <w:rFonts w:ascii="Garamond" w:hAnsi="Garamond"/>
          <w:b/>
          <w:bCs/>
          <w:szCs w:val="24"/>
        </w:rPr>
      </w:pPr>
    </w:p>
    <w:p w:rsidR="008A1D7F" w:rsidRPr="005940BE" w:rsidRDefault="008A1D7F" w:rsidP="008A1D7F">
      <w:pPr>
        <w:tabs>
          <w:tab w:val="left" w:pos="284"/>
        </w:tabs>
        <w:rPr>
          <w:rFonts w:ascii="Garamond" w:hAnsi="Garamond"/>
          <w:b/>
          <w:bCs/>
          <w:szCs w:val="24"/>
        </w:rPr>
      </w:pPr>
      <w:r w:rsidRPr="005940BE">
        <w:rPr>
          <w:rFonts w:ascii="Garamond" w:hAnsi="Garamond"/>
          <w:b/>
          <w:bCs/>
          <w:szCs w:val="24"/>
        </w:rPr>
        <w:t>Ako príklady možno spomenúť:</w:t>
      </w:r>
    </w:p>
    <w:p w:rsidR="008A1D7F" w:rsidRPr="005940BE" w:rsidRDefault="008A1D7F" w:rsidP="008A1D7F">
      <w:pPr>
        <w:pStyle w:val="Odsekzoznamu"/>
        <w:numPr>
          <w:ilvl w:val="0"/>
          <w:numId w:val="3"/>
        </w:numPr>
        <w:tabs>
          <w:tab w:val="left" w:pos="284"/>
        </w:tabs>
        <w:ind w:left="284" w:hanging="284"/>
        <w:rPr>
          <w:rFonts w:ascii="Garamond" w:hAnsi="Garamond"/>
          <w:bCs/>
          <w:szCs w:val="24"/>
        </w:rPr>
      </w:pPr>
      <w:r w:rsidRPr="005940BE">
        <w:rPr>
          <w:rFonts w:ascii="Garamond" w:hAnsi="Garamond"/>
          <w:bCs/>
          <w:szCs w:val="24"/>
        </w:rPr>
        <w:t>spoločnú misiu OSN a AU v Darfúre (UNAMID)</w:t>
      </w:r>
    </w:p>
    <w:p w:rsidR="008A1D7F" w:rsidRPr="005940BE" w:rsidRDefault="008A1D7F" w:rsidP="008A1D7F">
      <w:pPr>
        <w:pStyle w:val="Odsekzoznamu"/>
        <w:numPr>
          <w:ilvl w:val="0"/>
          <w:numId w:val="3"/>
        </w:numPr>
        <w:tabs>
          <w:tab w:val="left" w:pos="284"/>
        </w:tabs>
        <w:ind w:left="284" w:hanging="284"/>
        <w:rPr>
          <w:rFonts w:ascii="Garamond" w:hAnsi="Garamond"/>
          <w:bCs/>
          <w:szCs w:val="24"/>
        </w:rPr>
      </w:pPr>
      <w:r w:rsidRPr="005940BE">
        <w:rPr>
          <w:rFonts w:ascii="Garamond" w:hAnsi="Garamond"/>
          <w:bCs/>
          <w:szCs w:val="24"/>
        </w:rPr>
        <w:t>prechod Medzinárodnej podpornej misie v Mali (AFISMA) pod kontrolu OSN (</w:t>
      </w:r>
      <w:r w:rsidRPr="005940BE">
        <w:rPr>
          <w:rFonts w:ascii="Garamond" w:hAnsi="Garamond"/>
          <w:bCs/>
          <w:i/>
          <w:szCs w:val="24"/>
        </w:rPr>
        <w:t xml:space="preserve">peacekeeping </w:t>
      </w:r>
      <w:r w:rsidRPr="005940BE">
        <w:rPr>
          <w:rFonts w:ascii="Garamond" w:hAnsi="Garamond"/>
          <w:bCs/>
          <w:szCs w:val="24"/>
        </w:rPr>
        <w:t>operácia MINUSMA - Zmena autority sa udiala 1. júla 2013, avšak pri zachovaní silnej prítomnosti regionálnej organizácie ECOWAS. Pozri bližšie Rezolúciu Bezpečnostnej rady OSN, S/RES/2100 (2013) z 25. apríla 2013.),</w:t>
      </w:r>
    </w:p>
    <w:p w:rsidR="008A1D7F" w:rsidRPr="005940BE" w:rsidRDefault="008A1D7F" w:rsidP="008A1D7F">
      <w:pPr>
        <w:pStyle w:val="Odsekzoznamu"/>
        <w:numPr>
          <w:ilvl w:val="0"/>
          <w:numId w:val="3"/>
        </w:numPr>
        <w:tabs>
          <w:tab w:val="left" w:pos="284"/>
        </w:tabs>
        <w:ind w:left="284" w:hanging="284"/>
        <w:rPr>
          <w:rFonts w:ascii="Garamond" w:hAnsi="Garamond"/>
          <w:bCs/>
          <w:szCs w:val="24"/>
        </w:rPr>
      </w:pPr>
      <w:r w:rsidRPr="005940BE">
        <w:rPr>
          <w:rFonts w:ascii="Garamond" w:hAnsi="Garamond"/>
          <w:bCs/>
          <w:szCs w:val="24"/>
        </w:rPr>
        <w:t>angažovanie sa juhoamerického spoločenstva UNASUR v karibskom Haiti v rámci misie MINUSTAH a.p.</w:t>
      </w:r>
    </w:p>
    <w:p w:rsidR="008A1D7F" w:rsidRPr="005940BE" w:rsidRDefault="008A1D7F" w:rsidP="008A1D7F">
      <w:pPr>
        <w:pStyle w:val="Odsekzoznamu"/>
        <w:tabs>
          <w:tab w:val="left" w:pos="284"/>
        </w:tabs>
        <w:ind w:left="284"/>
        <w:rPr>
          <w:rFonts w:ascii="Garamond" w:hAnsi="Garamond"/>
          <w:bCs/>
          <w:szCs w:val="24"/>
        </w:rPr>
      </w:pPr>
    </w:p>
    <w:p w:rsidR="008A1D7F" w:rsidRPr="005940BE" w:rsidRDefault="008A1D7F" w:rsidP="008A1D7F">
      <w:pPr>
        <w:tabs>
          <w:tab w:val="left" w:pos="284"/>
        </w:tabs>
        <w:rPr>
          <w:rFonts w:ascii="Garamond" w:hAnsi="Garamond"/>
          <w:bCs/>
          <w:szCs w:val="24"/>
        </w:rPr>
      </w:pPr>
      <w:r w:rsidRPr="005940BE">
        <w:rPr>
          <w:rFonts w:ascii="Garamond" w:hAnsi="Garamond"/>
          <w:bCs/>
          <w:szCs w:val="24"/>
        </w:rPr>
        <w:t xml:space="preserve">Charta OSN vychádza z premisy výsadného postavenia Bezpečnostnej rady, súčasné potreby poukazujú na akceptovanie interdependencie univerzálnej a regionálnych organizácií, kde OSN nie je schopná sama osebe plniť svoj cieľ presadzovania mieru, no na strane druhej, samotné regionálne štruktúry spolupracujú s OSN vo viacerých oblastiach. Aj napriek dlhodobo známym výhodám, s ktorými sa nasadenie regionálnych organizácií spája, je pre tieto organizácie nevyhnutné obracať sa na vyššiu platformu medzinárodnej spolupráce jednak s ohľadom na potrebné zdroje, ako aj personál a požadovanú odbornosť. </w:t>
      </w:r>
    </w:p>
    <w:p w:rsidR="008A1D7F" w:rsidRPr="005940BE" w:rsidRDefault="008A1D7F" w:rsidP="008A1D7F">
      <w:pPr>
        <w:tabs>
          <w:tab w:val="left" w:pos="284"/>
        </w:tabs>
        <w:rPr>
          <w:rFonts w:ascii="Garamond" w:hAnsi="Garamond"/>
          <w:bCs/>
          <w:szCs w:val="24"/>
        </w:rPr>
      </w:pPr>
    </w:p>
    <w:p w:rsidR="008A1D7F" w:rsidRPr="005940BE" w:rsidRDefault="008A1D7F" w:rsidP="008A1D7F">
      <w:pPr>
        <w:tabs>
          <w:tab w:val="left" w:pos="284"/>
        </w:tabs>
        <w:rPr>
          <w:rFonts w:ascii="Garamond" w:hAnsi="Garamond"/>
          <w:bCs/>
          <w:szCs w:val="24"/>
        </w:rPr>
      </w:pPr>
      <w:r w:rsidRPr="005940BE">
        <w:rPr>
          <w:rFonts w:ascii="Garamond" w:hAnsi="Garamond"/>
          <w:bCs/>
          <w:szCs w:val="24"/>
        </w:rPr>
        <w:t>Agenda pre mier vyjadril Boutrous Boutrous Ghali:</w:t>
      </w:r>
    </w:p>
    <w:p w:rsidR="008A1D7F" w:rsidRPr="005940BE" w:rsidRDefault="008A1D7F" w:rsidP="008A1D7F">
      <w:pPr>
        <w:tabs>
          <w:tab w:val="left" w:pos="284"/>
        </w:tabs>
        <w:rPr>
          <w:rFonts w:ascii="Garamond" w:hAnsi="Garamond"/>
          <w:bCs/>
          <w:i/>
          <w:szCs w:val="24"/>
        </w:rPr>
      </w:pPr>
      <w:r w:rsidRPr="005940BE">
        <w:rPr>
          <w:rFonts w:ascii="Garamond" w:hAnsi="Garamond"/>
          <w:bCs/>
          <w:i/>
          <w:szCs w:val="24"/>
        </w:rPr>
        <w:t>„V zmysle Charty, Bezpečnostná rada má a vždy bude mať primárnu zodpovednosť za udržanie medzinárodného mieru a bezpečnosti, ale regionálne akcia ako prejav decentralizácie, delegácie a spolupráce s OSN, nie je iba uľahčením bremena, ktoré nesie Bezpečnostná rada, ale prispieva tiež k hlbšej spolupráci, konsenzu a demokratizácii v medzinárodných záležitostiach.“</w:t>
      </w:r>
      <w:r w:rsidRPr="005940BE">
        <w:rPr>
          <w:rFonts w:ascii="Garamond" w:hAnsi="Garamond"/>
          <w:bCs/>
          <w:i/>
          <w:szCs w:val="24"/>
          <w:vertAlign w:val="superscript"/>
        </w:rPr>
        <w:footnoteReference w:id="7"/>
      </w:r>
    </w:p>
    <w:p w:rsidR="008A1D7F" w:rsidRPr="005940BE" w:rsidRDefault="008A1D7F" w:rsidP="00065FB0">
      <w:pPr>
        <w:pStyle w:val="Odsekzoznamu"/>
        <w:tabs>
          <w:tab w:val="left" w:pos="284"/>
        </w:tabs>
        <w:ind w:left="0"/>
        <w:rPr>
          <w:rFonts w:ascii="Garamond" w:hAnsi="Garamond"/>
          <w:szCs w:val="24"/>
        </w:rPr>
      </w:pPr>
    </w:p>
    <w:p w:rsidR="00A145E0" w:rsidRPr="005940BE" w:rsidRDefault="00A145E0" w:rsidP="00CE0514">
      <w:pPr>
        <w:pStyle w:val="Odsekzoznamu"/>
        <w:numPr>
          <w:ilvl w:val="0"/>
          <w:numId w:val="1"/>
        </w:numPr>
        <w:tabs>
          <w:tab w:val="left" w:pos="284"/>
        </w:tabs>
        <w:rPr>
          <w:rFonts w:ascii="Garamond" w:hAnsi="Garamond"/>
          <w:b/>
          <w:szCs w:val="24"/>
          <w:u w:val="single"/>
        </w:rPr>
      </w:pPr>
      <w:r w:rsidRPr="005940BE">
        <w:rPr>
          <w:rFonts w:ascii="Garamond" w:hAnsi="Garamond"/>
          <w:b/>
          <w:szCs w:val="24"/>
          <w:u w:val="single"/>
        </w:rPr>
        <w:t>Úloha EÚ pri výkone sankcií</w:t>
      </w:r>
    </w:p>
    <w:p w:rsidR="00CE0514" w:rsidRPr="005940BE" w:rsidRDefault="00CE0514" w:rsidP="00CE0514">
      <w:pPr>
        <w:pStyle w:val="Odsekzoznamu"/>
        <w:tabs>
          <w:tab w:val="left" w:pos="284"/>
        </w:tabs>
        <w:rPr>
          <w:rFonts w:ascii="Garamond" w:hAnsi="Garamond"/>
          <w:b/>
          <w:szCs w:val="24"/>
        </w:rPr>
      </w:pPr>
    </w:p>
    <w:p w:rsidR="00A145E0" w:rsidRPr="005940BE" w:rsidRDefault="00A145E0" w:rsidP="00065FB0">
      <w:pPr>
        <w:pStyle w:val="Odsekzoznamu"/>
        <w:numPr>
          <w:ilvl w:val="0"/>
          <w:numId w:val="2"/>
        </w:numPr>
        <w:tabs>
          <w:tab w:val="left" w:pos="284"/>
        </w:tabs>
        <w:ind w:left="284" w:hanging="284"/>
        <w:rPr>
          <w:rFonts w:ascii="Garamond" w:hAnsi="Garamond"/>
          <w:b/>
          <w:szCs w:val="24"/>
        </w:rPr>
      </w:pPr>
      <w:r w:rsidRPr="005940BE">
        <w:rPr>
          <w:rFonts w:ascii="Garamond" w:hAnsi="Garamond"/>
          <w:szCs w:val="24"/>
        </w:rPr>
        <w:t>Rozhodnutia BR OSN nie sú priamo aplikovateľné – vyžadujú na svoje vykonanie nástroj vnútroštátneho práva (v SR zákon č. 126/2011 Z.z. o vykonávaní medzinárodných sankcií).</w:t>
      </w:r>
    </w:p>
    <w:p w:rsidR="00A145E0" w:rsidRPr="005940BE" w:rsidRDefault="00A145E0" w:rsidP="00065FB0">
      <w:pPr>
        <w:pStyle w:val="Odsekzoznamu"/>
        <w:numPr>
          <w:ilvl w:val="0"/>
          <w:numId w:val="2"/>
        </w:numPr>
        <w:tabs>
          <w:tab w:val="left" w:pos="284"/>
        </w:tabs>
        <w:ind w:left="284" w:hanging="284"/>
        <w:rPr>
          <w:rFonts w:ascii="Garamond" w:hAnsi="Garamond"/>
          <w:b/>
          <w:szCs w:val="24"/>
        </w:rPr>
      </w:pPr>
      <w:r w:rsidRPr="005940BE">
        <w:rPr>
          <w:rFonts w:ascii="Garamond" w:hAnsi="Garamond"/>
          <w:szCs w:val="24"/>
        </w:rPr>
        <w:t>Sankcie bez použitia sily majú predovšetkým hospodárske účinky – či už ide sankcie „klasické“ alebo cielené, je pre ich vykonanie vhodná platforma ekonomického integračného zoskupenia akým je Európska únia</w:t>
      </w:r>
    </w:p>
    <w:p w:rsidR="00A145E0" w:rsidRPr="005940BE" w:rsidRDefault="00A145E0" w:rsidP="00065FB0">
      <w:pPr>
        <w:pStyle w:val="Odsekzoznamu"/>
        <w:numPr>
          <w:ilvl w:val="0"/>
          <w:numId w:val="2"/>
        </w:numPr>
        <w:tabs>
          <w:tab w:val="left" w:pos="284"/>
        </w:tabs>
        <w:ind w:left="284" w:hanging="284"/>
        <w:rPr>
          <w:rFonts w:ascii="Garamond" w:hAnsi="Garamond"/>
          <w:b/>
          <w:szCs w:val="24"/>
        </w:rPr>
      </w:pPr>
      <w:r w:rsidRPr="005940BE">
        <w:rPr>
          <w:rFonts w:ascii="Garamond" w:hAnsi="Garamond"/>
          <w:szCs w:val="24"/>
        </w:rPr>
        <w:t>Európska únia vytvára vnútorný trh (článok 3 Zmluvy o Európskej únii) – priestor voľného pohybu osôb, tovarov, služieb a kapitálu.</w:t>
      </w:r>
    </w:p>
    <w:p w:rsidR="00A145E0" w:rsidRPr="005940BE" w:rsidRDefault="00A145E0" w:rsidP="00065FB0">
      <w:pPr>
        <w:pStyle w:val="Odsekzoznamu"/>
        <w:numPr>
          <w:ilvl w:val="0"/>
          <w:numId w:val="2"/>
        </w:numPr>
        <w:tabs>
          <w:tab w:val="left" w:pos="284"/>
        </w:tabs>
        <w:ind w:left="284" w:hanging="284"/>
        <w:rPr>
          <w:rFonts w:ascii="Garamond" w:hAnsi="Garamond"/>
          <w:b/>
          <w:szCs w:val="24"/>
        </w:rPr>
      </w:pPr>
      <w:r w:rsidRPr="005940BE">
        <w:rPr>
          <w:rFonts w:ascii="Garamond" w:hAnsi="Garamond"/>
          <w:szCs w:val="24"/>
        </w:rPr>
        <w:t xml:space="preserve">V tomto priestore je efektívne a účelne v záujme jednotného výkonu sankcií BR OSN, obzvlášť sankcií hospodárskej povahy, zveriť právomoc ich vykonania </w:t>
      </w:r>
      <w:r w:rsidR="00065FB0" w:rsidRPr="005940BE">
        <w:rPr>
          <w:rFonts w:ascii="Garamond" w:hAnsi="Garamond"/>
          <w:szCs w:val="24"/>
        </w:rPr>
        <w:t>organizácií</w:t>
      </w:r>
    </w:p>
    <w:p w:rsidR="00065FB0" w:rsidRPr="005940BE" w:rsidRDefault="00065FB0" w:rsidP="00065FB0">
      <w:pPr>
        <w:pStyle w:val="Odsekzoznamu"/>
        <w:numPr>
          <w:ilvl w:val="0"/>
          <w:numId w:val="2"/>
        </w:numPr>
        <w:tabs>
          <w:tab w:val="left" w:pos="284"/>
        </w:tabs>
        <w:ind w:left="284" w:hanging="284"/>
        <w:rPr>
          <w:rFonts w:ascii="Garamond" w:hAnsi="Garamond"/>
          <w:b/>
          <w:szCs w:val="24"/>
        </w:rPr>
      </w:pPr>
      <w:r w:rsidRPr="005940BE">
        <w:rPr>
          <w:rFonts w:ascii="Garamond" w:hAnsi="Garamond"/>
          <w:szCs w:val="24"/>
        </w:rPr>
        <w:t xml:space="preserve">Európska únia vykonáva sankcie BR OSN v rámci </w:t>
      </w:r>
      <w:r w:rsidRPr="005940BE">
        <w:rPr>
          <w:rFonts w:ascii="Garamond" w:hAnsi="Garamond"/>
          <w:b/>
          <w:szCs w:val="24"/>
        </w:rPr>
        <w:t xml:space="preserve">Spoločnej zahraničnej a bezpečnostnej politiky </w:t>
      </w:r>
      <w:r w:rsidRPr="005940BE">
        <w:rPr>
          <w:rFonts w:ascii="Garamond" w:hAnsi="Garamond"/>
          <w:szCs w:val="24"/>
        </w:rPr>
        <w:t>(SZBP)</w:t>
      </w:r>
    </w:p>
    <w:p w:rsidR="00065FB0" w:rsidRPr="005940BE" w:rsidRDefault="00065FB0" w:rsidP="00065FB0">
      <w:pPr>
        <w:pStyle w:val="Odsekzoznamu"/>
        <w:tabs>
          <w:tab w:val="left" w:pos="284"/>
        </w:tabs>
        <w:ind w:left="0"/>
        <w:rPr>
          <w:rFonts w:ascii="Garamond" w:hAnsi="Garamond"/>
          <w:szCs w:val="24"/>
        </w:rPr>
      </w:pPr>
    </w:p>
    <w:p w:rsidR="00812207" w:rsidRPr="005940BE" w:rsidRDefault="00812207" w:rsidP="00065FB0">
      <w:pPr>
        <w:pStyle w:val="Odsekzoznamu"/>
        <w:tabs>
          <w:tab w:val="left" w:pos="284"/>
        </w:tabs>
        <w:ind w:left="0"/>
        <w:rPr>
          <w:rFonts w:ascii="Garamond" w:hAnsi="Garamond"/>
          <w:szCs w:val="24"/>
        </w:rPr>
      </w:pPr>
      <w:r w:rsidRPr="005940BE">
        <w:rPr>
          <w:rFonts w:ascii="Garamond" w:hAnsi="Garamond"/>
          <w:szCs w:val="24"/>
        </w:rPr>
        <w:t>V súčasnosti sa úprava spoločnej zahraničnej politiky nachádza v piatej hlave Zmluvy o Európskej únii v rámci všeobecných ustanovení o vonkajšej činnosti únie a osobitných ustanovení o spoločnej zahraničnej a bezpečnostnej politike. Na základe týchto ustanovení sa Únia usiluje o rozvoj vzťahov a budovanie partnerstiev s tretími krajinami a s medzinárodnými, regionálnymi a univerzálnymi organizáciami, ktoré uznávajú spoločné zásady. Presadzuje mnohostranné riešenia spoločných problémov, najmä v rámci OSN.</w:t>
      </w:r>
      <w:r w:rsidRPr="005940BE">
        <w:rPr>
          <w:rFonts w:ascii="Garamond" w:hAnsi="Garamond"/>
          <w:szCs w:val="24"/>
          <w:vertAlign w:val="superscript"/>
        </w:rPr>
        <w:footnoteReference w:id="8"/>
      </w:r>
    </w:p>
    <w:p w:rsidR="00CE0514" w:rsidRPr="005940BE" w:rsidRDefault="00CE0514" w:rsidP="00065FB0">
      <w:pPr>
        <w:pStyle w:val="Odsekzoznamu"/>
        <w:tabs>
          <w:tab w:val="left" w:pos="284"/>
        </w:tabs>
        <w:ind w:left="0"/>
        <w:rPr>
          <w:rFonts w:ascii="Garamond" w:hAnsi="Garamond"/>
          <w:szCs w:val="24"/>
        </w:rPr>
      </w:pPr>
    </w:p>
    <w:p w:rsidR="00F6178F" w:rsidRPr="005940BE" w:rsidRDefault="00065FB0" w:rsidP="00065FB0">
      <w:pPr>
        <w:pStyle w:val="Odsekzoznamu"/>
        <w:tabs>
          <w:tab w:val="left" w:pos="0"/>
        </w:tabs>
        <w:ind w:left="0"/>
        <w:rPr>
          <w:rFonts w:ascii="Garamond" w:hAnsi="Garamond"/>
          <w:szCs w:val="24"/>
        </w:rPr>
      </w:pPr>
      <w:r w:rsidRPr="005940BE">
        <w:rPr>
          <w:rFonts w:ascii="Garamond" w:hAnsi="Garamond"/>
          <w:szCs w:val="24"/>
        </w:rPr>
        <w:t>Základné vymedznie SZBP nachádzame v Zmluve o Európskej ún</w:t>
      </w:r>
      <w:r w:rsidR="00CE0514" w:rsidRPr="005940BE">
        <w:rPr>
          <w:rFonts w:ascii="Garamond" w:hAnsi="Garamond"/>
          <w:szCs w:val="24"/>
        </w:rPr>
        <w:t>ií (ZEU) v článku</w:t>
      </w:r>
      <w:r w:rsidRPr="005940BE">
        <w:rPr>
          <w:rFonts w:ascii="Garamond" w:hAnsi="Garamond"/>
          <w:szCs w:val="24"/>
        </w:rPr>
        <w:t xml:space="preserve"> 21 – základné vymedzenie SZBP a jej realizácia vo vzťahu k Charte OSN:</w:t>
      </w:r>
    </w:p>
    <w:p w:rsidR="00065FB0" w:rsidRPr="005940BE" w:rsidRDefault="00065FB0" w:rsidP="00065FB0">
      <w:pPr>
        <w:pStyle w:val="Odsekzoznamu"/>
        <w:tabs>
          <w:tab w:val="left" w:pos="0"/>
        </w:tabs>
        <w:ind w:left="0"/>
        <w:rPr>
          <w:rFonts w:ascii="Garamond" w:hAnsi="Garamond"/>
          <w:i/>
          <w:szCs w:val="24"/>
        </w:rPr>
      </w:pPr>
      <w:r w:rsidRPr="005940BE">
        <w:rPr>
          <w:rFonts w:ascii="Garamond" w:hAnsi="Garamond"/>
          <w:i/>
          <w:szCs w:val="24"/>
        </w:rPr>
        <w:t xml:space="preserve">Činnosť Únie na medzinárodnej scéne sa spravuje zásadami, ktoré sa uplatnili pri jej založení, rozvoji a rozšírení a ktoré hodlá podporovať vo zvyšku sveta: demokracia, právny štát, univerzálnosť a nedeliteľnosť ľudských práv a základných slobôd, zachovávanieľudskej dôstojnosti, rovnosť a solidarita a </w:t>
      </w:r>
      <w:r w:rsidRPr="005940BE">
        <w:rPr>
          <w:rFonts w:ascii="Garamond" w:hAnsi="Garamond"/>
          <w:b/>
          <w:i/>
          <w:szCs w:val="24"/>
        </w:rPr>
        <w:t>dodržiavanie zásad Charty Organizácie Spojených národov a medzinárodného práva</w:t>
      </w:r>
      <w:r w:rsidRPr="005940BE">
        <w:rPr>
          <w:rFonts w:ascii="Garamond" w:hAnsi="Garamond"/>
          <w:i/>
          <w:szCs w:val="24"/>
        </w:rPr>
        <w:t>.</w:t>
      </w:r>
    </w:p>
    <w:p w:rsidR="00065FB0" w:rsidRPr="005940BE" w:rsidRDefault="00065FB0" w:rsidP="00065FB0">
      <w:pPr>
        <w:pStyle w:val="Odsekzoznamu"/>
        <w:tabs>
          <w:tab w:val="left" w:pos="0"/>
        </w:tabs>
        <w:ind w:left="0"/>
        <w:rPr>
          <w:rFonts w:ascii="Garamond" w:hAnsi="Garamond"/>
          <w:i/>
          <w:szCs w:val="24"/>
        </w:rPr>
      </w:pPr>
      <w:r w:rsidRPr="005940BE">
        <w:rPr>
          <w:rFonts w:ascii="Garamond" w:hAnsi="Garamond"/>
          <w:i/>
          <w:szCs w:val="24"/>
        </w:rPr>
        <w:t xml:space="preserve">Únia sa usiluje o rozvoj vzťahov a budovanie partnerstiev s tretími krajinami a s medzinárodnými, regionálnymi alebo svetovými organizáciami, ktoré uznávajú spoločné zásady uvedené v prvom pododseku. </w:t>
      </w:r>
      <w:r w:rsidRPr="005940BE">
        <w:rPr>
          <w:rFonts w:ascii="Garamond" w:hAnsi="Garamond"/>
          <w:b/>
          <w:i/>
          <w:szCs w:val="24"/>
        </w:rPr>
        <w:t>Presadzuje mnohostranné riešenia spoločných problémov, najmä v rámci Organizácie Spojených národov</w:t>
      </w:r>
      <w:r w:rsidRPr="005940BE">
        <w:rPr>
          <w:rFonts w:ascii="Garamond" w:hAnsi="Garamond"/>
          <w:i/>
          <w:szCs w:val="24"/>
        </w:rPr>
        <w:t>.</w:t>
      </w:r>
      <w:r w:rsidRPr="005940BE">
        <w:rPr>
          <w:rStyle w:val="Odkaznapoznmkupodiarou"/>
          <w:rFonts w:ascii="Garamond" w:hAnsi="Garamond"/>
          <w:i/>
          <w:szCs w:val="24"/>
        </w:rPr>
        <w:footnoteReference w:id="9"/>
      </w:r>
    </w:p>
    <w:p w:rsidR="00065FB0" w:rsidRPr="005940BE" w:rsidRDefault="00065FB0" w:rsidP="00065FB0">
      <w:pPr>
        <w:pStyle w:val="Odsekzoznamu"/>
        <w:tabs>
          <w:tab w:val="left" w:pos="0"/>
        </w:tabs>
        <w:ind w:left="0"/>
        <w:rPr>
          <w:rFonts w:ascii="Garamond" w:hAnsi="Garamond"/>
          <w:i/>
          <w:szCs w:val="24"/>
        </w:rPr>
      </w:pPr>
    </w:p>
    <w:p w:rsidR="00065FB0" w:rsidRPr="005940BE" w:rsidRDefault="00065FB0" w:rsidP="00065FB0">
      <w:pPr>
        <w:pStyle w:val="Odsekzoznamu"/>
        <w:tabs>
          <w:tab w:val="left" w:pos="0"/>
        </w:tabs>
        <w:ind w:left="0"/>
        <w:rPr>
          <w:rFonts w:ascii="Garamond" w:hAnsi="Garamond"/>
          <w:szCs w:val="24"/>
        </w:rPr>
      </w:pPr>
      <w:r w:rsidRPr="005940BE">
        <w:rPr>
          <w:rFonts w:ascii="Garamond" w:hAnsi="Garamond"/>
          <w:b/>
          <w:szCs w:val="24"/>
        </w:rPr>
        <w:t xml:space="preserve">Článok 22 – </w:t>
      </w:r>
      <w:r w:rsidRPr="005940BE">
        <w:rPr>
          <w:rFonts w:ascii="Garamond" w:hAnsi="Garamond"/>
          <w:szCs w:val="24"/>
        </w:rPr>
        <w:t xml:space="preserve">na základe zásad článku 21, určuje </w:t>
      </w:r>
      <w:r w:rsidRPr="005940BE">
        <w:rPr>
          <w:rFonts w:ascii="Garamond" w:hAnsi="Garamond"/>
          <w:b/>
          <w:szCs w:val="24"/>
        </w:rPr>
        <w:t>Európska rada</w:t>
      </w:r>
      <w:r w:rsidRPr="005940BE">
        <w:rPr>
          <w:rFonts w:ascii="Garamond" w:hAnsi="Garamond"/>
          <w:szCs w:val="24"/>
        </w:rPr>
        <w:t xml:space="preserve"> strategické záujmy a ciele Únie.</w:t>
      </w:r>
    </w:p>
    <w:p w:rsidR="00065FB0" w:rsidRPr="005940BE" w:rsidRDefault="00065FB0" w:rsidP="00065FB0">
      <w:pPr>
        <w:tabs>
          <w:tab w:val="left" w:pos="0"/>
        </w:tabs>
        <w:rPr>
          <w:rFonts w:ascii="Garamond" w:hAnsi="Garamond"/>
          <w:szCs w:val="24"/>
        </w:rPr>
      </w:pPr>
      <w:r w:rsidRPr="005940BE">
        <w:rPr>
          <w:rFonts w:ascii="Garamond" w:hAnsi="Garamond"/>
          <w:szCs w:val="24"/>
        </w:rPr>
        <w:t xml:space="preserve">Článok 24 ZEU: Spoločná zahraničná a bezpečnostná politika </w:t>
      </w:r>
      <w:r w:rsidRPr="005940BE">
        <w:rPr>
          <w:rFonts w:ascii="Garamond" w:hAnsi="Garamond"/>
          <w:b/>
          <w:szCs w:val="24"/>
        </w:rPr>
        <w:t>podlieha osobitným pravidlám a postupom</w:t>
      </w:r>
      <w:r w:rsidRPr="005940BE">
        <w:rPr>
          <w:rFonts w:ascii="Garamond" w:hAnsi="Garamond"/>
          <w:szCs w:val="24"/>
        </w:rPr>
        <w:t>. Vymedzuje a vykonáva ju jednomyseľne Európska rada a Rada s výnimkou</w:t>
      </w:r>
    </w:p>
    <w:p w:rsidR="00065FB0" w:rsidRPr="005940BE" w:rsidRDefault="00065FB0" w:rsidP="00065FB0">
      <w:pPr>
        <w:pStyle w:val="Odsekzoznamu"/>
        <w:tabs>
          <w:tab w:val="left" w:pos="0"/>
        </w:tabs>
        <w:ind w:left="0"/>
        <w:rPr>
          <w:rFonts w:ascii="Garamond" w:hAnsi="Garamond"/>
          <w:szCs w:val="24"/>
        </w:rPr>
      </w:pPr>
      <w:r w:rsidRPr="005940BE">
        <w:rPr>
          <w:rFonts w:ascii="Garamond" w:hAnsi="Garamond"/>
          <w:szCs w:val="24"/>
        </w:rPr>
        <w:t>prípadov, keď sa v zmluvách ustanovuje inak. Prijatie legislatívneho aktu sa vylučuje. Spoločnú zahraničnú a bezpečnostnú politiku uskutočňuje vysoký predstaviteľ Únie pre zahraničné veci a bezpečnostnú politiku a členské štáty v súlade so zmluvami...</w:t>
      </w:r>
    </w:p>
    <w:p w:rsidR="00065FB0" w:rsidRPr="005940BE" w:rsidRDefault="00065FB0" w:rsidP="00065FB0">
      <w:pPr>
        <w:pStyle w:val="Odsekzoznamu"/>
        <w:tabs>
          <w:tab w:val="left" w:pos="0"/>
        </w:tabs>
        <w:ind w:left="0"/>
        <w:rPr>
          <w:rFonts w:ascii="Garamond" w:hAnsi="Garamond"/>
          <w:szCs w:val="24"/>
        </w:rPr>
      </w:pPr>
    </w:p>
    <w:p w:rsidR="00065FB0" w:rsidRPr="005940BE" w:rsidRDefault="00065FB0" w:rsidP="00065FB0">
      <w:pPr>
        <w:pStyle w:val="Odsekzoznamu"/>
        <w:tabs>
          <w:tab w:val="left" w:pos="0"/>
        </w:tabs>
        <w:ind w:left="0"/>
        <w:rPr>
          <w:rFonts w:ascii="Garamond" w:hAnsi="Garamond"/>
          <w:b/>
          <w:szCs w:val="24"/>
        </w:rPr>
      </w:pPr>
      <w:r w:rsidRPr="005940BE">
        <w:rPr>
          <w:rFonts w:ascii="Garamond" w:hAnsi="Garamond"/>
          <w:szCs w:val="24"/>
        </w:rPr>
        <w:t xml:space="preserve">V zmysle </w:t>
      </w:r>
      <w:r w:rsidRPr="005940BE">
        <w:rPr>
          <w:rFonts w:ascii="Garamond" w:hAnsi="Garamond"/>
          <w:b/>
          <w:szCs w:val="24"/>
        </w:rPr>
        <w:t xml:space="preserve">článku 25 ZEU, Únia uskutočňuje SZBP </w:t>
      </w:r>
      <w:r w:rsidR="007E6F4C" w:rsidRPr="005940BE">
        <w:rPr>
          <w:rFonts w:ascii="Garamond" w:hAnsi="Garamond"/>
          <w:b/>
          <w:szCs w:val="24"/>
        </w:rPr>
        <w:t>hlavne:</w:t>
      </w:r>
    </w:p>
    <w:p w:rsidR="007E6F4C" w:rsidRPr="005940BE" w:rsidRDefault="007E6F4C" w:rsidP="007E6F4C">
      <w:pPr>
        <w:pStyle w:val="Odsekzoznamu"/>
        <w:tabs>
          <w:tab w:val="left" w:pos="426"/>
        </w:tabs>
        <w:ind w:left="0"/>
        <w:rPr>
          <w:rFonts w:ascii="Garamond" w:hAnsi="Garamond"/>
          <w:szCs w:val="24"/>
        </w:rPr>
      </w:pPr>
      <w:r w:rsidRPr="005940BE">
        <w:rPr>
          <w:rFonts w:ascii="Garamond" w:hAnsi="Garamond"/>
          <w:szCs w:val="24"/>
        </w:rPr>
        <w:t>a)</w:t>
      </w:r>
      <w:r w:rsidRPr="005940BE">
        <w:rPr>
          <w:rFonts w:ascii="Garamond" w:hAnsi="Garamond"/>
          <w:szCs w:val="24"/>
        </w:rPr>
        <w:tab/>
        <w:t>vym</w:t>
      </w:r>
      <w:r w:rsidR="00E2661A" w:rsidRPr="005940BE">
        <w:rPr>
          <w:rFonts w:ascii="Garamond" w:hAnsi="Garamond"/>
          <w:szCs w:val="24"/>
        </w:rPr>
        <w:t>edzením všeobecných usmernení (rozhoduje Európska rada)</w:t>
      </w:r>
      <w:r w:rsidRPr="005940BE">
        <w:rPr>
          <w:rFonts w:ascii="Garamond" w:hAnsi="Garamond"/>
          <w:szCs w:val="24"/>
        </w:rPr>
        <w:tab/>
      </w:r>
    </w:p>
    <w:p w:rsidR="007E6F4C" w:rsidRPr="005940BE" w:rsidRDefault="007E6F4C" w:rsidP="007E6F4C">
      <w:pPr>
        <w:pStyle w:val="Odsekzoznamu"/>
        <w:tabs>
          <w:tab w:val="left" w:pos="426"/>
        </w:tabs>
        <w:ind w:left="0"/>
        <w:rPr>
          <w:rFonts w:ascii="Garamond" w:hAnsi="Garamond"/>
          <w:szCs w:val="24"/>
        </w:rPr>
      </w:pPr>
      <w:r w:rsidRPr="005940BE">
        <w:rPr>
          <w:rFonts w:ascii="Garamond" w:hAnsi="Garamond"/>
          <w:szCs w:val="24"/>
        </w:rPr>
        <w:t xml:space="preserve">b) </w:t>
      </w:r>
      <w:r w:rsidRPr="005940BE">
        <w:rPr>
          <w:rFonts w:ascii="Garamond" w:hAnsi="Garamond"/>
          <w:szCs w:val="24"/>
        </w:rPr>
        <w:tab/>
        <w:t>prijímaním rozhodnutí, ktoré vymedzujú:</w:t>
      </w:r>
    </w:p>
    <w:p w:rsidR="007E6F4C" w:rsidRPr="005940BE" w:rsidRDefault="007E6F4C" w:rsidP="007E6F4C">
      <w:pPr>
        <w:pStyle w:val="Odsekzoznamu"/>
        <w:tabs>
          <w:tab w:val="left" w:pos="426"/>
        </w:tabs>
        <w:ind w:left="0" w:firstLine="567"/>
        <w:rPr>
          <w:rFonts w:ascii="Garamond" w:hAnsi="Garamond"/>
          <w:szCs w:val="24"/>
        </w:rPr>
      </w:pPr>
      <w:r w:rsidRPr="005940BE">
        <w:rPr>
          <w:rFonts w:ascii="Garamond" w:hAnsi="Garamond"/>
          <w:szCs w:val="24"/>
        </w:rPr>
        <w:t xml:space="preserve"> i) </w:t>
      </w:r>
      <w:r w:rsidRPr="005940BE">
        <w:rPr>
          <w:rFonts w:ascii="Garamond" w:hAnsi="Garamond"/>
          <w:szCs w:val="24"/>
        </w:rPr>
        <w:tab/>
        <w:t>aké akcie má Únia vykonať</w:t>
      </w:r>
      <w:r w:rsidRPr="005940BE">
        <w:rPr>
          <w:rFonts w:ascii="Garamond" w:hAnsi="Garamond"/>
          <w:szCs w:val="24"/>
        </w:rPr>
        <w:tab/>
      </w:r>
      <w:r w:rsidRPr="005940BE">
        <w:rPr>
          <w:rFonts w:ascii="Garamond" w:hAnsi="Garamond"/>
          <w:szCs w:val="24"/>
        </w:rPr>
        <w:tab/>
      </w:r>
    </w:p>
    <w:p w:rsidR="007E6F4C" w:rsidRPr="005940BE" w:rsidRDefault="007E6F4C" w:rsidP="007E6F4C">
      <w:pPr>
        <w:pStyle w:val="Odsekzoznamu"/>
        <w:tabs>
          <w:tab w:val="left" w:pos="426"/>
        </w:tabs>
        <w:ind w:left="0" w:firstLine="567"/>
        <w:rPr>
          <w:rFonts w:ascii="Garamond" w:hAnsi="Garamond"/>
          <w:szCs w:val="24"/>
        </w:rPr>
      </w:pPr>
      <w:r w:rsidRPr="005940BE">
        <w:rPr>
          <w:rFonts w:ascii="Garamond" w:hAnsi="Garamond"/>
          <w:szCs w:val="24"/>
        </w:rPr>
        <w:t xml:space="preserve"> ii) </w:t>
      </w:r>
      <w:r w:rsidRPr="005940BE">
        <w:rPr>
          <w:rFonts w:ascii="Garamond" w:hAnsi="Garamond"/>
          <w:szCs w:val="24"/>
        </w:rPr>
        <w:tab/>
        <w:t>aké pozície má Únia zaujať</w:t>
      </w:r>
      <w:r w:rsidRPr="005940BE">
        <w:rPr>
          <w:rFonts w:ascii="Garamond" w:hAnsi="Garamond"/>
          <w:szCs w:val="24"/>
        </w:rPr>
        <w:tab/>
      </w:r>
      <w:r w:rsidRPr="005940BE">
        <w:rPr>
          <w:rFonts w:ascii="Garamond" w:hAnsi="Garamond"/>
          <w:szCs w:val="24"/>
        </w:rPr>
        <w:tab/>
      </w:r>
    </w:p>
    <w:p w:rsidR="007E6F4C" w:rsidRPr="005940BE" w:rsidRDefault="007E6F4C" w:rsidP="007E6F4C">
      <w:pPr>
        <w:pStyle w:val="Odsekzoznamu"/>
        <w:tabs>
          <w:tab w:val="left" w:pos="426"/>
        </w:tabs>
        <w:ind w:left="0" w:firstLine="567"/>
        <w:rPr>
          <w:rFonts w:ascii="Garamond" w:hAnsi="Garamond"/>
          <w:szCs w:val="24"/>
        </w:rPr>
      </w:pPr>
      <w:r w:rsidRPr="005940BE">
        <w:rPr>
          <w:rFonts w:ascii="Garamond" w:hAnsi="Garamond"/>
          <w:szCs w:val="24"/>
        </w:rPr>
        <w:t xml:space="preserve"> iii) </w:t>
      </w:r>
      <w:r w:rsidRPr="005940BE">
        <w:rPr>
          <w:rFonts w:ascii="Garamond" w:hAnsi="Garamond"/>
          <w:szCs w:val="24"/>
        </w:rPr>
        <w:tab/>
        <w:t>opatrenia na vykonávanie rozhodnutí uvedených v bodoch i) a ii);</w:t>
      </w:r>
    </w:p>
    <w:p w:rsidR="00CE0514" w:rsidRPr="005940BE" w:rsidRDefault="00CE0514" w:rsidP="007E6F4C">
      <w:pPr>
        <w:pStyle w:val="Odsekzoznamu"/>
        <w:tabs>
          <w:tab w:val="left" w:pos="426"/>
        </w:tabs>
        <w:ind w:left="0" w:firstLine="567"/>
        <w:rPr>
          <w:rFonts w:ascii="Garamond" w:hAnsi="Garamond"/>
          <w:szCs w:val="24"/>
        </w:rPr>
      </w:pPr>
    </w:p>
    <w:p w:rsidR="00CE0514" w:rsidRPr="005940BE" w:rsidRDefault="00CE0514" w:rsidP="00CE0514">
      <w:pPr>
        <w:pStyle w:val="Odsekzoznamu"/>
        <w:tabs>
          <w:tab w:val="left" w:pos="426"/>
        </w:tabs>
        <w:ind w:left="0"/>
        <w:rPr>
          <w:rFonts w:ascii="Garamond" w:hAnsi="Garamond"/>
          <w:bCs/>
          <w:szCs w:val="24"/>
        </w:rPr>
      </w:pPr>
      <w:r w:rsidRPr="005940BE">
        <w:rPr>
          <w:rFonts w:ascii="Garamond" w:hAnsi="Garamond"/>
          <w:bCs/>
          <w:szCs w:val="24"/>
        </w:rPr>
        <w:t xml:space="preserve">Článok 25 Zmluvy o Európskej únii vymedzuje kategórie rozhodnutí, ktoré Únia prijíma pri realizácii SZBP. Hlavnú úlohu pri vykonávaní SZBP má </w:t>
      </w:r>
      <w:r w:rsidRPr="005940BE">
        <w:rPr>
          <w:rFonts w:ascii="Garamond" w:hAnsi="Garamond"/>
          <w:b/>
          <w:bCs/>
          <w:szCs w:val="24"/>
        </w:rPr>
        <w:t>Vysoký predstaviteľ Únie pre zahraničnú politiku a Rada</w:t>
      </w:r>
      <w:r w:rsidRPr="005940BE">
        <w:rPr>
          <w:rFonts w:ascii="Garamond" w:hAnsi="Garamond"/>
          <w:bCs/>
          <w:szCs w:val="24"/>
        </w:rPr>
        <w:t>.</w:t>
      </w:r>
    </w:p>
    <w:p w:rsidR="00CE0514" w:rsidRPr="005940BE" w:rsidRDefault="00CE0514" w:rsidP="00CE0514">
      <w:pPr>
        <w:pStyle w:val="Odsekzoznamu"/>
        <w:tabs>
          <w:tab w:val="left" w:pos="426"/>
        </w:tabs>
        <w:ind w:left="0"/>
        <w:rPr>
          <w:rFonts w:ascii="Garamond" w:hAnsi="Garamond"/>
          <w:bCs/>
          <w:szCs w:val="24"/>
        </w:rPr>
      </w:pPr>
    </w:p>
    <w:p w:rsidR="00CE0514" w:rsidRPr="005940BE" w:rsidRDefault="00CE0514" w:rsidP="00CE0514">
      <w:pPr>
        <w:pStyle w:val="Odsekzoznamu"/>
        <w:tabs>
          <w:tab w:val="left" w:pos="426"/>
        </w:tabs>
        <w:ind w:left="0"/>
        <w:rPr>
          <w:rFonts w:ascii="Garamond" w:hAnsi="Garamond"/>
          <w:bCs/>
          <w:szCs w:val="24"/>
        </w:rPr>
      </w:pPr>
      <w:r w:rsidRPr="005940BE">
        <w:rPr>
          <w:rFonts w:ascii="Garamond" w:hAnsi="Garamond"/>
          <w:b/>
          <w:bCs/>
          <w:szCs w:val="24"/>
        </w:rPr>
        <w:t>Rada tvorí túto politiku pričom sa spravuje všeobecnými usmerneniami a strategickými smermi prijatými Európskou radou</w:t>
      </w:r>
      <w:r w:rsidRPr="005940BE">
        <w:rPr>
          <w:rFonts w:ascii="Garamond" w:hAnsi="Garamond"/>
          <w:bCs/>
          <w:szCs w:val="24"/>
        </w:rPr>
        <w:t xml:space="preserve">. </w:t>
      </w:r>
    </w:p>
    <w:p w:rsidR="00CE0514" w:rsidRPr="005940BE" w:rsidRDefault="00CE0514" w:rsidP="00CE0514">
      <w:pPr>
        <w:pStyle w:val="Odsekzoznamu"/>
        <w:tabs>
          <w:tab w:val="left" w:pos="426"/>
        </w:tabs>
        <w:ind w:left="0"/>
        <w:rPr>
          <w:rFonts w:ascii="Garamond" w:hAnsi="Garamond"/>
          <w:bCs/>
          <w:szCs w:val="24"/>
        </w:rPr>
      </w:pPr>
    </w:p>
    <w:p w:rsidR="00CE0514" w:rsidRPr="005940BE" w:rsidRDefault="00CE0514" w:rsidP="00CE0514">
      <w:pPr>
        <w:pStyle w:val="Odsekzoznamu"/>
        <w:tabs>
          <w:tab w:val="left" w:pos="426"/>
        </w:tabs>
        <w:ind w:left="0"/>
        <w:rPr>
          <w:rFonts w:ascii="Garamond" w:hAnsi="Garamond"/>
          <w:bCs/>
          <w:szCs w:val="24"/>
        </w:rPr>
      </w:pPr>
      <w:r w:rsidRPr="005940BE">
        <w:rPr>
          <w:rFonts w:ascii="Garamond" w:hAnsi="Garamond"/>
          <w:bCs/>
          <w:szCs w:val="24"/>
        </w:rPr>
        <w:t xml:space="preserve">Základným rámcom vymedzujúcim právomoc Únie v oblasti sankcií je článok </w:t>
      </w:r>
      <w:r w:rsidRPr="005940BE">
        <w:rPr>
          <w:rFonts w:ascii="Garamond" w:hAnsi="Garamond"/>
          <w:b/>
          <w:bCs/>
          <w:szCs w:val="24"/>
        </w:rPr>
        <w:t>28 ZEÚ</w:t>
      </w:r>
      <w:r w:rsidRPr="005940BE">
        <w:rPr>
          <w:rFonts w:ascii="Garamond" w:hAnsi="Garamond"/>
          <w:bCs/>
          <w:szCs w:val="24"/>
        </w:rPr>
        <w:t>. Ak si medzinárodná situácia vyžaduje operačnú činnosť Únie má na základe uvedeného článku Rada právomoc prijať rozhodnutie, ktorým vymedzí ciele, rozsah a prostriedky, ktoré dostáva Únia k dispozícií a toto rozhodnutie vymedzí aj doba trvania a spôsob ich uskutočnenia.</w:t>
      </w:r>
    </w:p>
    <w:p w:rsidR="00CE0514" w:rsidRPr="005940BE" w:rsidRDefault="00CE0514" w:rsidP="00CE0514">
      <w:pPr>
        <w:pStyle w:val="Odsekzoznamu"/>
        <w:tabs>
          <w:tab w:val="left" w:pos="426"/>
        </w:tabs>
        <w:ind w:left="0"/>
        <w:rPr>
          <w:rFonts w:ascii="Garamond" w:hAnsi="Garamond"/>
          <w:bCs/>
          <w:szCs w:val="24"/>
        </w:rPr>
      </w:pPr>
    </w:p>
    <w:p w:rsidR="00CE0514" w:rsidRPr="005940BE" w:rsidRDefault="00CE0514" w:rsidP="00CE0514">
      <w:pPr>
        <w:pStyle w:val="Odsekzoznamu"/>
        <w:tabs>
          <w:tab w:val="left" w:pos="426"/>
        </w:tabs>
        <w:ind w:left="0"/>
        <w:rPr>
          <w:rFonts w:ascii="Garamond" w:hAnsi="Garamond"/>
          <w:bCs/>
          <w:szCs w:val="24"/>
        </w:rPr>
      </w:pPr>
      <w:r w:rsidRPr="005940BE">
        <w:rPr>
          <w:rFonts w:ascii="Garamond" w:hAnsi="Garamond"/>
          <w:b/>
          <w:bCs/>
          <w:szCs w:val="24"/>
        </w:rPr>
        <w:t>Článok 31 ZEÚ predpisuje jednomyseľné prijímanie rozhodnutí tak Radou ako aj Európskou radou</w:t>
      </w:r>
      <w:r w:rsidRPr="005940BE">
        <w:rPr>
          <w:rFonts w:ascii="Garamond" w:hAnsi="Garamond"/>
          <w:bCs/>
          <w:szCs w:val="24"/>
        </w:rPr>
        <w:t xml:space="preserve">. Postup predpokladaný Zmluvou o Európskej únii sa týka rozhodnutí v rámci celého spektra SZBP, pričom ukladanie reštriktívnych opatrení tvorí iba časť z nich. </w:t>
      </w:r>
    </w:p>
    <w:p w:rsidR="00CE0514" w:rsidRPr="005940BE" w:rsidRDefault="00CE0514" w:rsidP="00CE0514">
      <w:pPr>
        <w:pStyle w:val="Odsekzoznamu"/>
        <w:tabs>
          <w:tab w:val="left" w:pos="426"/>
        </w:tabs>
        <w:ind w:left="0"/>
        <w:rPr>
          <w:rFonts w:ascii="Garamond" w:hAnsi="Garamond"/>
          <w:bCs/>
          <w:szCs w:val="24"/>
        </w:rPr>
      </w:pPr>
    </w:p>
    <w:p w:rsidR="00CE0514" w:rsidRPr="005940BE" w:rsidRDefault="00CE0514" w:rsidP="00CE0514">
      <w:pPr>
        <w:pStyle w:val="Odsekzoznamu"/>
        <w:tabs>
          <w:tab w:val="left" w:pos="426"/>
        </w:tabs>
        <w:ind w:left="0"/>
        <w:rPr>
          <w:rFonts w:ascii="Garamond" w:hAnsi="Garamond"/>
          <w:bCs/>
          <w:szCs w:val="24"/>
        </w:rPr>
      </w:pPr>
      <w:r w:rsidRPr="005940BE">
        <w:rPr>
          <w:rFonts w:ascii="Garamond" w:hAnsi="Garamond"/>
          <w:bCs/>
          <w:szCs w:val="24"/>
        </w:rPr>
        <w:t xml:space="preserve">Osobitný postup pre prijímanie </w:t>
      </w:r>
      <w:r w:rsidRPr="005940BE">
        <w:rPr>
          <w:rFonts w:ascii="Garamond" w:hAnsi="Garamond"/>
          <w:b/>
          <w:bCs/>
          <w:szCs w:val="24"/>
        </w:rPr>
        <w:t>reštriktívnych opatrení</w:t>
      </w:r>
      <w:r w:rsidRPr="005940BE">
        <w:rPr>
          <w:rFonts w:ascii="Garamond" w:hAnsi="Garamond"/>
          <w:bCs/>
          <w:szCs w:val="24"/>
        </w:rPr>
        <w:t xml:space="preserve"> (sankcií) </w:t>
      </w:r>
      <w:r w:rsidRPr="005940BE">
        <w:rPr>
          <w:rFonts w:ascii="Garamond" w:hAnsi="Garamond"/>
          <w:b/>
          <w:bCs/>
          <w:szCs w:val="24"/>
        </w:rPr>
        <w:t>upravuje článok 216 Zmluvy o fungovaní Európskej únie</w:t>
      </w:r>
      <w:r w:rsidRPr="005940BE">
        <w:rPr>
          <w:rFonts w:ascii="Garamond" w:hAnsi="Garamond"/>
          <w:bCs/>
          <w:szCs w:val="24"/>
        </w:rPr>
        <w:t xml:space="preserve">. </w:t>
      </w:r>
    </w:p>
    <w:p w:rsidR="00CE0514" w:rsidRPr="005940BE" w:rsidRDefault="00CE0514" w:rsidP="00CE0514">
      <w:pPr>
        <w:pStyle w:val="Odsekzoznamu"/>
        <w:tabs>
          <w:tab w:val="left" w:pos="426"/>
        </w:tabs>
        <w:ind w:left="0"/>
        <w:rPr>
          <w:rFonts w:ascii="Garamond" w:hAnsi="Garamond"/>
          <w:bCs/>
          <w:szCs w:val="24"/>
        </w:rPr>
      </w:pPr>
    </w:p>
    <w:p w:rsidR="008A1D7F" w:rsidRDefault="00CE0514" w:rsidP="008A1D7F">
      <w:pPr>
        <w:pStyle w:val="Odsekzoznamu"/>
        <w:tabs>
          <w:tab w:val="left" w:pos="426"/>
        </w:tabs>
        <w:ind w:left="0"/>
        <w:rPr>
          <w:rFonts w:ascii="Garamond" w:hAnsi="Garamond"/>
          <w:bCs/>
          <w:szCs w:val="24"/>
        </w:rPr>
      </w:pPr>
      <w:r w:rsidRPr="005940BE">
        <w:rPr>
          <w:rFonts w:ascii="Garamond" w:hAnsi="Garamond"/>
          <w:bCs/>
          <w:szCs w:val="24"/>
        </w:rPr>
        <w:t>Vysoký predstaviteľ pre zahraničné veci a bezpečnostnú politiku spoločne s Komisiou predkladajú návrh opatrenia na základe Rozhodnutia Rady (jednomyseľného) Rade Európskej únie, ktorá toto prijíma tentoraz už kvalifikovanou väčšinou. Reštriktívne opatrenia sa môžu zahŕňať prerušenie hospodárskych a finančných vzťahov s jednou alebo viacerými krajinami. Takéto opatrenia možno prijať aj voči neštátnym subjektom - teda fyzickým a právnickým osobám či iným skupinám.</w:t>
      </w:r>
      <w:r w:rsidR="008A1D7F">
        <w:rPr>
          <w:rFonts w:ascii="Garamond" w:hAnsi="Garamond"/>
          <w:bCs/>
          <w:szCs w:val="24"/>
        </w:rPr>
        <w:br w:type="page"/>
      </w:r>
    </w:p>
    <w:p w:rsidR="00CE0514" w:rsidRPr="005940BE" w:rsidRDefault="008A1D7F" w:rsidP="00CE0514">
      <w:pPr>
        <w:pStyle w:val="Odsekzoznamu"/>
        <w:tabs>
          <w:tab w:val="left" w:pos="426"/>
        </w:tabs>
        <w:ind w:left="0"/>
        <w:rPr>
          <w:rFonts w:ascii="Garamond" w:hAnsi="Garamond"/>
          <w:bCs/>
          <w:szCs w:val="24"/>
        </w:rPr>
      </w:pPr>
      <w:r>
        <w:rPr>
          <w:rFonts w:ascii="Garamond" w:hAnsi="Garamond"/>
          <w:bCs/>
          <w:szCs w:val="24"/>
        </w:rPr>
        <w:t>T</w:t>
      </w:r>
      <w:r w:rsidR="00CE0514" w:rsidRPr="005940BE">
        <w:rPr>
          <w:rFonts w:ascii="Garamond" w:hAnsi="Garamond"/>
          <w:bCs/>
          <w:szCs w:val="24"/>
        </w:rPr>
        <w:t xml:space="preserve">ento </w:t>
      </w:r>
      <w:r>
        <w:rPr>
          <w:rFonts w:ascii="Garamond" w:hAnsi="Garamond"/>
          <w:bCs/>
          <w:szCs w:val="24"/>
        </w:rPr>
        <w:t>proces</w:t>
      </w:r>
      <w:r w:rsidR="00CE0514" w:rsidRPr="005940BE">
        <w:rPr>
          <w:rFonts w:ascii="Garamond" w:hAnsi="Garamond"/>
          <w:bCs/>
          <w:szCs w:val="24"/>
        </w:rPr>
        <w:t xml:space="preserve"> rozhodovania o reštriktívnych opatreniach sa uplatňuje  </w:t>
      </w:r>
      <w:r w:rsidR="00CE0514" w:rsidRPr="005940BE">
        <w:rPr>
          <w:rFonts w:ascii="Garamond" w:hAnsi="Garamond"/>
          <w:b/>
          <w:bCs/>
          <w:szCs w:val="24"/>
        </w:rPr>
        <w:t>pri  rozhodovaní o reštriktívnych opatreniach vo všeobecnosti</w:t>
      </w:r>
      <w:r w:rsidR="00CE0514" w:rsidRPr="005940BE">
        <w:rPr>
          <w:rFonts w:ascii="Garamond" w:hAnsi="Garamond"/>
          <w:bCs/>
          <w:szCs w:val="24"/>
        </w:rPr>
        <w:t xml:space="preserve">. Nevzťahuje sa výlučne na implementáciu </w:t>
      </w:r>
      <w:r w:rsidR="00CE0514" w:rsidRPr="005940BE">
        <w:rPr>
          <w:rFonts w:ascii="Garamond" w:hAnsi="Garamond"/>
          <w:b/>
          <w:bCs/>
          <w:szCs w:val="24"/>
        </w:rPr>
        <w:t>rezolúcií BR OSN.</w:t>
      </w:r>
    </w:p>
    <w:p w:rsidR="008A1D7F" w:rsidRDefault="008A1D7F" w:rsidP="00CE0514">
      <w:pPr>
        <w:pStyle w:val="Odsekzoznamu"/>
        <w:tabs>
          <w:tab w:val="left" w:pos="426"/>
        </w:tabs>
        <w:ind w:left="0"/>
        <w:rPr>
          <w:rFonts w:ascii="Garamond" w:hAnsi="Garamond"/>
          <w:bCs/>
          <w:szCs w:val="24"/>
        </w:rPr>
      </w:pPr>
    </w:p>
    <w:p w:rsidR="00CE0514" w:rsidRPr="005940BE" w:rsidRDefault="00CE0514" w:rsidP="00CE0514">
      <w:pPr>
        <w:pStyle w:val="Odsekzoznamu"/>
        <w:tabs>
          <w:tab w:val="left" w:pos="426"/>
        </w:tabs>
        <w:ind w:left="0"/>
        <w:rPr>
          <w:rFonts w:ascii="Garamond" w:hAnsi="Garamond"/>
          <w:bCs/>
          <w:szCs w:val="24"/>
        </w:rPr>
      </w:pPr>
      <w:r w:rsidRPr="005940BE">
        <w:rPr>
          <w:rFonts w:ascii="Garamond" w:hAnsi="Garamond"/>
          <w:bCs/>
          <w:szCs w:val="24"/>
        </w:rPr>
        <w:t xml:space="preserve">Uplatňuje sa aj v prípade rozhodovania o </w:t>
      </w:r>
      <w:r w:rsidRPr="008A1D7F">
        <w:rPr>
          <w:rFonts w:ascii="Garamond" w:hAnsi="Garamond"/>
          <w:b/>
          <w:bCs/>
          <w:szCs w:val="24"/>
        </w:rPr>
        <w:t>jednostranných reštriktívnych opatreniach</w:t>
      </w:r>
      <w:r w:rsidR="008A1D7F">
        <w:rPr>
          <w:rFonts w:ascii="Garamond" w:hAnsi="Garamond"/>
          <w:b/>
          <w:bCs/>
          <w:szCs w:val="24"/>
        </w:rPr>
        <w:t xml:space="preserve"> (</w:t>
      </w:r>
      <w:r w:rsidR="008A1D7F">
        <w:rPr>
          <w:rFonts w:ascii="Garamond" w:hAnsi="Garamond"/>
          <w:bCs/>
          <w:szCs w:val="24"/>
        </w:rPr>
        <w:t>bez použitia sily</w:t>
      </w:r>
      <w:r w:rsidR="008A1D7F">
        <w:rPr>
          <w:rFonts w:ascii="Garamond" w:hAnsi="Garamond"/>
          <w:b/>
          <w:bCs/>
          <w:szCs w:val="24"/>
        </w:rPr>
        <w:t>)</w:t>
      </w:r>
      <w:r w:rsidRPr="008A1D7F">
        <w:rPr>
          <w:rFonts w:ascii="Garamond" w:hAnsi="Garamond"/>
          <w:b/>
          <w:bCs/>
          <w:szCs w:val="24"/>
        </w:rPr>
        <w:t xml:space="preserve"> o ktorých uložení Únia rozhoduje aj bez mandátu BR OSN</w:t>
      </w:r>
      <w:r w:rsidRPr="005940BE">
        <w:rPr>
          <w:rFonts w:ascii="Garamond" w:hAnsi="Garamond"/>
          <w:bCs/>
          <w:szCs w:val="24"/>
        </w:rPr>
        <w:t xml:space="preserve"> (Napríklad Rozhodnutie Rady č. 2014/512/SZBP z 31.7.2014 voči Ruskej federácií zakazujúce vývoz a dovoz materiálu a produktov určených na vojenské účely). Je tomu tak najmä v prípadoch </w:t>
      </w:r>
      <w:r w:rsidR="008A1D7F">
        <w:rPr>
          <w:rFonts w:ascii="Garamond" w:hAnsi="Garamond"/>
          <w:bCs/>
          <w:szCs w:val="24"/>
        </w:rPr>
        <w:t xml:space="preserve">zníženej akcieschopnosti BR OSN. </w:t>
      </w:r>
    </w:p>
    <w:p w:rsidR="008A1D7F" w:rsidRDefault="008A1D7F" w:rsidP="00CE0514">
      <w:pPr>
        <w:pStyle w:val="Odsekzoznamu"/>
        <w:tabs>
          <w:tab w:val="left" w:pos="426"/>
        </w:tabs>
        <w:ind w:left="0"/>
        <w:rPr>
          <w:rFonts w:ascii="Garamond" w:hAnsi="Garamond"/>
          <w:bCs/>
          <w:szCs w:val="24"/>
        </w:rPr>
      </w:pPr>
    </w:p>
    <w:p w:rsidR="00CE0514" w:rsidRPr="005940BE" w:rsidRDefault="008A1D7F" w:rsidP="00CE0514">
      <w:pPr>
        <w:pStyle w:val="Odsekzoznamu"/>
        <w:tabs>
          <w:tab w:val="left" w:pos="426"/>
        </w:tabs>
        <w:ind w:left="0"/>
        <w:rPr>
          <w:rFonts w:ascii="Garamond" w:hAnsi="Garamond"/>
          <w:b/>
          <w:bCs/>
          <w:szCs w:val="24"/>
        </w:rPr>
      </w:pPr>
      <w:r>
        <w:rPr>
          <w:rFonts w:ascii="Garamond" w:hAnsi="Garamond"/>
          <w:bCs/>
          <w:szCs w:val="24"/>
        </w:rPr>
        <w:t>Proces prijímania reštriktívnych opatrení, môže zahŕňať aj také opatrenia pri ktorých sa</w:t>
      </w:r>
      <w:r w:rsidR="00CE0514" w:rsidRPr="005940BE">
        <w:rPr>
          <w:rFonts w:ascii="Garamond" w:hAnsi="Garamond"/>
          <w:bCs/>
          <w:szCs w:val="24"/>
        </w:rPr>
        <w:t xml:space="preserve"> </w:t>
      </w:r>
      <w:r w:rsidR="00CE0514" w:rsidRPr="005940BE">
        <w:rPr>
          <w:rFonts w:ascii="Garamond" w:hAnsi="Garamond"/>
          <w:b/>
          <w:bCs/>
          <w:szCs w:val="24"/>
        </w:rPr>
        <w:t>Únia opiera o rozhodnutie BR OSN, avšak rozsah sankcií rozširuje nad rámec rezolúcie BR OSN</w:t>
      </w:r>
      <w:r>
        <w:rPr>
          <w:rFonts w:ascii="Garamond" w:hAnsi="Garamond"/>
          <w:b/>
          <w:bCs/>
          <w:szCs w:val="24"/>
        </w:rPr>
        <w:t xml:space="preserve"> </w:t>
      </w:r>
      <w:r>
        <w:rPr>
          <w:rFonts w:ascii="Garamond" w:hAnsi="Garamond"/>
          <w:bCs/>
          <w:szCs w:val="24"/>
        </w:rPr>
        <w:t xml:space="preserve"> už v rámci vlastného sankčného mechanizmu</w:t>
      </w:r>
      <w:r w:rsidR="00CE0514" w:rsidRPr="005940BE">
        <w:rPr>
          <w:rFonts w:ascii="Garamond" w:hAnsi="Garamond"/>
          <w:b/>
          <w:bCs/>
          <w:szCs w:val="24"/>
        </w:rPr>
        <w:t>.</w:t>
      </w:r>
    </w:p>
    <w:p w:rsidR="006D56E2" w:rsidRPr="005940BE" w:rsidRDefault="006D56E2" w:rsidP="00CE0514">
      <w:pPr>
        <w:pStyle w:val="Odsekzoznamu"/>
        <w:tabs>
          <w:tab w:val="left" w:pos="426"/>
        </w:tabs>
        <w:ind w:left="0"/>
        <w:rPr>
          <w:rFonts w:ascii="Garamond" w:hAnsi="Garamond"/>
          <w:b/>
          <w:bCs/>
          <w:szCs w:val="24"/>
        </w:rPr>
      </w:pPr>
    </w:p>
    <w:p w:rsidR="006D56E2" w:rsidRPr="005940BE" w:rsidRDefault="006D56E2" w:rsidP="000E187A">
      <w:pPr>
        <w:pStyle w:val="Odsekzoznamu"/>
        <w:tabs>
          <w:tab w:val="left" w:pos="426"/>
        </w:tabs>
        <w:ind w:left="0"/>
        <w:rPr>
          <w:rFonts w:ascii="Garamond" w:hAnsi="Garamond"/>
          <w:bCs/>
          <w:szCs w:val="24"/>
        </w:rPr>
      </w:pPr>
      <w:r w:rsidRPr="005940BE">
        <w:rPr>
          <w:rFonts w:ascii="Garamond" w:hAnsi="Garamond"/>
          <w:b/>
          <w:bCs/>
          <w:szCs w:val="24"/>
        </w:rPr>
        <w:t>Mechanizmus vykonani</w:t>
      </w:r>
      <w:r w:rsidR="000E187A" w:rsidRPr="005940BE">
        <w:rPr>
          <w:rFonts w:ascii="Garamond" w:hAnsi="Garamond"/>
          <w:b/>
          <w:bCs/>
          <w:szCs w:val="24"/>
        </w:rPr>
        <w:t>a sankcií je teda dvojstupňov</w:t>
      </w:r>
      <w:r w:rsidR="008A1D7F">
        <w:rPr>
          <w:rFonts w:ascii="Garamond" w:hAnsi="Garamond"/>
          <w:b/>
          <w:bCs/>
          <w:szCs w:val="24"/>
        </w:rPr>
        <w:t>ý</w:t>
      </w:r>
      <w:r w:rsidR="000E187A" w:rsidRPr="005940BE">
        <w:rPr>
          <w:rFonts w:ascii="Garamond" w:hAnsi="Garamond"/>
          <w:b/>
          <w:bCs/>
          <w:szCs w:val="24"/>
        </w:rPr>
        <w:t>.</w:t>
      </w:r>
      <w:r w:rsidR="000E187A" w:rsidRPr="005940BE">
        <w:rPr>
          <w:rStyle w:val="Odkaznapoznmkupodiarou"/>
          <w:rFonts w:ascii="Garamond" w:hAnsi="Garamond"/>
          <w:b/>
          <w:bCs/>
          <w:szCs w:val="24"/>
        </w:rPr>
        <w:footnoteReference w:id="10"/>
      </w:r>
    </w:p>
    <w:p w:rsidR="00CE0514" w:rsidRPr="005940BE" w:rsidRDefault="00CE0514" w:rsidP="00CE0514">
      <w:pPr>
        <w:pStyle w:val="Odsekzoznamu"/>
        <w:tabs>
          <w:tab w:val="left" w:pos="426"/>
        </w:tabs>
        <w:ind w:left="0"/>
        <w:rPr>
          <w:rFonts w:ascii="Garamond" w:hAnsi="Garamond"/>
          <w:b/>
          <w:bCs/>
          <w:szCs w:val="24"/>
        </w:rPr>
      </w:pPr>
    </w:p>
    <w:p w:rsidR="00262285" w:rsidRPr="005940BE" w:rsidRDefault="00262285" w:rsidP="00CE0514">
      <w:pPr>
        <w:tabs>
          <w:tab w:val="left" w:pos="284"/>
        </w:tabs>
        <w:rPr>
          <w:rFonts w:ascii="Garamond" w:hAnsi="Garamond"/>
          <w:bCs/>
          <w:szCs w:val="24"/>
        </w:rPr>
      </w:pPr>
    </w:p>
    <w:sectPr w:rsidR="00262285" w:rsidRPr="005940BE" w:rsidSect="00471A64">
      <w:footerReference w:type="default" r:id="rId8"/>
      <w:headerReference w:type="first" r:id="rId9"/>
      <w:footerReference w:type="first" r:id="rId10"/>
      <w:pgSz w:w="11906" w:h="16838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5AB" w:rsidRDefault="007A15AB" w:rsidP="00807E19">
      <w:r>
        <w:separator/>
      </w:r>
    </w:p>
  </w:endnote>
  <w:endnote w:type="continuationSeparator" w:id="0">
    <w:p w:rsidR="007A15AB" w:rsidRDefault="007A15AB" w:rsidP="00807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481837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:rsidR="008A1D7F" w:rsidRPr="008A1D7F" w:rsidRDefault="008A1D7F">
        <w:pPr>
          <w:pStyle w:val="Pta"/>
          <w:jc w:val="right"/>
          <w:rPr>
            <w:rFonts w:ascii="Garamond" w:hAnsi="Garamond"/>
          </w:rPr>
        </w:pPr>
        <w:r w:rsidRPr="008A1D7F">
          <w:rPr>
            <w:rFonts w:ascii="Garamond" w:hAnsi="Garamond"/>
          </w:rPr>
          <w:fldChar w:fldCharType="begin"/>
        </w:r>
        <w:r w:rsidRPr="008A1D7F">
          <w:rPr>
            <w:rFonts w:ascii="Garamond" w:hAnsi="Garamond"/>
          </w:rPr>
          <w:instrText>PAGE   \* MERGEFORMAT</w:instrText>
        </w:r>
        <w:r w:rsidRPr="008A1D7F">
          <w:rPr>
            <w:rFonts w:ascii="Garamond" w:hAnsi="Garamond"/>
          </w:rPr>
          <w:fldChar w:fldCharType="separate"/>
        </w:r>
        <w:r w:rsidR="00471A64">
          <w:rPr>
            <w:rFonts w:ascii="Garamond" w:hAnsi="Garamond"/>
            <w:noProof/>
          </w:rPr>
          <w:t>2</w:t>
        </w:r>
        <w:r w:rsidRPr="008A1D7F">
          <w:rPr>
            <w:rFonts w:ascii="Garamond" w:hAnsi="Garamond"/>
          </w:rPr>
          <w:fldChar w:fldCharType="end"/>
        </w:r>
      </w:p>
    </w:sdtContent>
  </w:sdt>
  <w:p w:rsidR="008A1D7F" w:rsidRDefault="008A1D7F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A64" w:rsidRPr="00471A64" w:rsidRDefault="00471A64" w:rsidP="00471A64">
    <w:pPr>
      <w:pStyle w:val="Pta"/>
      <w:jc w:val="right"/>
      <w:rPr>
        <w:rFonts w:ascii="Garamond" w:hAnsi="Garamond"/>
      </w:rPr>
    </w:pPr>
    <w:r w:rsidRPr="00471A64">
      <w:rPr>
        <w:rFonts w:ascii="Garamond" w:hAnsi="Garamond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5AB" w:rsidRDefault="007A15AB" w:rsidP="00807E19">
      <w:r>
        <w:separator/>
      </w:r>
    </w:p>
  </w:footnote>
  <w:footnote w:type="continuationSeparator" w:id="0">
    <w:p w:rsidR="007A15AB" w:rsidRDefault="007A15AB" w:rsidP="00807E19">
      <w:r>
        <w:continuationSeparator/>
      </w:r>
    </w:p>
  </w:footnote>
  <w:footnote w:id="1">
    <w:p w:rsidR="00807E19" w:rsidRPr="00262285" w:rsidRDefault="00807E19" w:rsidP="00262285">
      <w:pPr>
        <w:pStyle w:val="Textpoznmkypodiarou"/>
        <w:tabs>
          <w:tab w:val="left" w:pos="284"/>
        </w:tabs>
        <w:ind w:left="284" w:hanging="284"/>
        <w:rPr>
          <w:sz w:val="18"/>
          <w:szCs w:val="18"/>
        </w:rPr>
      </w:pPr>
      <w:r w:rsidRPr="00262285">
        <w:rPr>
          <w:rStyle w:val="Odkaznapoznmkupodiarou"/>
          <w:sz w:val="18"/>
          <w:szCs w:val="18"/>
        </w:rPr>
        <w:footnoteRef/>
      </w:r>
      <w:r w:rsidRPr="00262285">
        <w:rPr>
          <w:sz w:val="18"/>
          <w:szCs w:val="18"/>
        </w:rPr>
        <w:t xml:space="preserve"> </w:t>
      </w:r>
      <w:r w:rsidR="00812207" w:rsidRPr="00262285">
        <w:rPr>
          <w:sz w:val="18"/>
          <w:szCs w:val="18"/>
        </w:rPr>
        <w:tab/>
      </w:r>
      <w:r w:rsidRPr="00262285">
        <w:rPr>
          <w:sz w:val="18"/>
          <w:szCs w:val="18"/>
        </w:rPr>
        <w:t>Pozri bližšie: Klučka, J.: Medzinárodné právo verejné (všeobecná a osobitná časť), 2. vydanie, IURA Edition: Bratislava, 2011, s. 232 – 233.</w:t>
      </w:r>
    </w:p>
  </w:footnote>
  <w:footnote w:id="2">
    <w:p w:rsidR="008A1D7F" w:rsidRPr="00262285" w:rsidRDefault="008A1D7F" w:rsidP="008A1D7F">
      <w:pPr>
        <w:pStyle w:val="Textpoznmkypodiarou"/>
        <w:tabs>
          <w:tab w:val="left" w:pos="284"/>
        </w:tabs>
        <w:ind w:left="284" w:hanging="284"/>
        <w:rPr>
          <w:sz w:val="18"/>
          <w:szCs w:val="18"/>
        </w:rPr>
      </w:pPr>
      <w:r w:rsidRPr="00262285">
        <w:rPr>
          <w:rStyle w:val="Odkaznapoznmkupodiarou"/>
          <w:sz w:val="18"/>
          <w:szCs w:val="18"/>
        </w:rPr>
        <w:footnoteRef/>
      </w:r>
      <w:r w:rsidRPr="00262285">
        <w:rPr>
          <w:sz w:val="18"/>
          <w:szCs w:val="18"/>
        </w:rPr>
        <w:t xml:space="preserve"> </w:t>
      </w:r>
      <w:r w:rsidRPr="00262285">
        <w:rPr>
          <w:sz w:val="18"/>
          <w:szCs w:val="18"/>
        </w:rPr>
        <w:tab/>
        <w:t>Možno poukázať na dokument Cooperation between the United Nations and Regional Organizations/Arrangementsun a</w:t>
      </w:r>
      <w:bookmarkStart w:id="0" w:name="_GoBack"/>
      <w:bookmarkEnd w:id="0"/>
      <w:r w:rsidRPr="00262285">
        <w:rPr>
          <w:sz w:val="18"/>
          <w:szCs w:val="18"/>
        </w:rPr>
        <w:t> Peacekeeping Enviroment – Suggested Principles and Enviroments, op. cit. par. 9 – 12.</w:t>
      </w:r>
    </w:p>
  </w:footnote>
  <w:footnote w:id="3">
    <w:p w:rsidR="008A1D7F" w:rsidRPr="00262285" w:rsidRDefault="008A1D7F" w:rsidP="008A1D7F">
      <w:pPr>
        <w:pStyle w:val="Textpoznmkypodiarou"/>
        <w:tabs>
          <w:tab w:val="left" w:pos="284"/>
        </w:tabs>
        <w:ind w:left="284" w:hanging="284"/>
        <w:rPr>
          <w:sz w:val="18"/>
          <w:szCs w:val="18"/>
        </w:rPr>
      </w:pPr>
      <w:r w:rsidRPr="00262285">
        <w:rPr>
          <w:rStyle w:val="Odkaznapoznmkupodiarou"/>
          <w:sz w:val="18"/>
          <w:szCs w:val="18"/>
        </w:rPr>
        <w:footnoteRef/>
      </w:r>
      <w:r w:rsidRPr="00262285">
        <w:rPr>
          <w:sz w:val="18"/>
          <w:szCs w:val="18"/>
        </w:rPr>
        <w:t xml:space="preserve"> </w:t>
      </w:r>
      <w:r w:rsidRPr="00262285">
        <w:rPr>
          <w:sz w:val="18"/>
          <w:szCs w:val="18"/>
        </w:rPr>
        <w:tab/>
        <w:t>Porovnaj napríklad: Cooperation between United Nations, Regional, Subregional Organizations „Mainstay“ of International Relations, Security Council Hears troughout Day-Long Debate. Security Council SC/11087, 6 August 2013, Presidential Statement, [online] dostupné: http:// www.un.org/News/Press/docs/2013/sc11087.doc.htm.</w:t>
      </w:r>
    </w:p>
  </w:footnote>
  <w:footnote w:id="4">
    <w:p w:rsidR="008A1D7F" w:rsidRPr="00262285" w:rsidRDefault="008A1D7F" w:rsidP="008A1D7F">
      <w:pPr>
        <w:pStyle w:val="Textpoznmkypodiarou"/>
        <w:tabs>
          <w:tab w:val="left" w:pos="284"/>
        </w:tabs>
        <w:ind w:left="284" w:hanging="284"/>
        <w:rPr>
          <w:sz w:val="18"/>
          <w:szCs w:val="18"/>
        </w:rPr>
      </w:pPr>
      <w:r w:rsidRPr="00262285">
        <w:rPr>
          <w:rStyle w:val="Odkaznapoznmkupodiarou"/>
          <w:sz w:val="18"/>
          <w:szCs w:val="18"/>
        </w:rPr>
        <w:footnoteRef/>
      </w:r>
      <w:r w:rsidRPr="00262285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262285">
        <w:rPr>
          <w:sz w:val="18"/>
          <w:szCs w:val="18"/>
        </w:rPr>
        <w:t xml:space="preserve">KLUČKA, J.: </w:t>
      </w:r>
      <w:r w:rsidRPr="00262285">
        <w:rPr>
          <w:i/>
          <w:sz w:val="18"/>
          <w:szCs w:val="18"/>
        </w:rPr>
        <w:t>Medzinárodné právo verejné (všeobecná a osobitná časť)</w:t>
      </w:r>
      <w:r w:rsidRPr="00262285">
        <w:rPr>
          <w:sz w:val="18"/>
          <w:szCs w:val="18"/>
        </w:rPr>
        <w:t>, 2. vydanie, IURA Edition: Bratislava, 2011, s. 480.</w:t>
      </w:r>
    </w:p>
  </w:footnote>
  <w:footnote w:id="5">
    <w:p w:rsidR="008A1D7F" w:rsidRPr="00262285" w:rsidRDefault="008A1D7F" w:rsidP="008A1D7F">
      <w:pPr>
        <w:pStyle w:val="Textpoznmkypodiarou"/>
        <w:tabs>
          <w:tab w:val="left" w:pos="284"/>
        </w:tabs>
        <w:ind w:left="284" w:hanging="284"/>
        <w:rPr>
          <w:sz w:val="18"/>
          <w:szCs w:val="18"/>
        </w:rPr>
      </w:pPr>
      <w:r w:rsidRPr="00262285">
        <w:rPr>
          <w:rStyle w:val="Odkaznapoznmkupodiarou"/>
          <w:sz w:val="18"/>
          <w:szCs w:val="18"/>
        </w:rPr>
        <w:footnoteRef/>
      </w:r>
      <w:r w:rsidRPr="00262285">
        <w:rPr>
          <w:sz w:val="18"/>
          <w:szCs w:val="18"/>
        </w:rPr>
        <w:t xml:space="preserve"> </w:t>
      </w:r>
      <w:r w:rsidRPr="00262285">
        <w:rPr>
          <w:sz w:val="18"/>
          <w:szCs w:val="18"/>
        </w:rPr>
        <w:tab/>
        <w:t>Pozri článok 2, článok 41 a kapitolu 11 Protocol Relating to the Mechanism for Conflict Prevention, Management, Resolution, Peace-Keeping and Security, online: (Protocol Relating to the Mechanism for Conflict Prevention, Management, Resolution, Peace-Keeping and Security, [online] dostupný: </w:t>
      </w:r>
      <w:hyperlink r:id="rId1" w:history="1">
        <w:r w:rsidRPr="00262285">
          <w:rPr>
            <w:rStyle w:val="Hypertextovprepojenie"/>
            <w:rFonts w:eastAsiaTheme="majorEastAsia"/>
            <w:sz w:val="18"/>
            <w:szCs w:val="18"/>
          </w:rPr>
          <w:t>http://www.comm.ecowas.int/sec/index.php?id=ap101299&amp;lang=en</w:t>
        </w:r>
      </w:hyperlink>
      <w:r w:rsidRPr="00262285">
        <w:rPr>
          <w:sz w:val="18"/>
          <w:szCs w:val="18"/>
        </w:rPr>
        <w:t>.</w:t>
      </w:r>
    </w:p>
  </w:footnote>
  <w:footnote w:id="6">
    <w:p w:rsidR="008A1D7F" w:rsidRPr="00262285" w:rsidRDefault="008A1D7F" w:rsidP="008A1D7F">
      <w:pPr>
        <w:pStyle w:val="Textpoznmkypodiarou"/>
        <w:tabs>
          <w:tab w:val="left" w:pos="284"/>
        </w:tabs>
        <w:ind w:left="284" w:hanging="284"/>
        <w:rPr>
          <w:sz w:val="18"/>
          <w:szCs w:val="18"/>
        </w:rPr>
      </w:pPr>
      <w:r w:rsidRPr="00262285">
        <w:rPr>
          <w:rStyle w:val="Odkaznapoznmkupodiarou"/>
          <w:sz w:val="18"/>
          <w:szCs w:val="18"/>
        </w:rPr>
        <w:footnoteRef/>
      </w:r>
      <w:r w:rsidRPr="00262285">
        <w:rPr>
          <w:sz w:val="18"/>
          <w:szCs w:val="18"/>
        </w:rPr>
        <w:t xml:space="preserve"> </w:t>
      </w:r>
      <w:r w:rsidRPr="00262285">
        <w:rPr>
          <w:sz w:val="18"/>
          <w:szCs w:val="18"/>
        </w:rPr>
        <w:tab/>
        <w:t>Pozri: Prebiehajúce misie a operácie (civilné aj vojenské) EÚ k júnu 2013, [online] dostupné: http://www.eeas.europa.eu/csdp/missions-and-operations/.</w:t>
      </w:r>
    </w:p>
  </w:footnote>
  <w:footnote w:id="7">
    <w:p w:rsidR="008A1D7F" w:rsidRPr="00262285" w:rsidRDefault="008A1D7F" w:rsidP="008A1D7F">
      <w:pPr>
        <w:pStyle w:val="Textpoznmkypodiarou"/>
        <w:tabs>
          <w:tab w:val="left" w:pos="284"/>
        </w:tabs>
        <w:ind w:left="284" w:hanging="284"/>
        <w:rPr>
          <w:sz w:val="18"/>
          <w:szCs w:val="18"/>
        </w:rPr>
      </w:pPr>
      <w:r w:rsidRPr="00262285">
        <w:rPr>
          <w:rStyle w:val="Odkaznapoznmkupodiarou"/>
          <w:sz w:val="18"/>
          <w:szCs w:val="18"/>
        </w:rPr>
        <w:footnoteRef/>
      </w:r>
      <w:r w:rsidRPr="00262285">
        <w:rPr>
          <w:sz w:val="18"/>
          <w:szCs w:val="18"/>
        </w:rPr>
        <w:t xml:space="preserve"> </w:t>
      </w:r>
      <w:r w:rsidRPr="00262285">
        <w:rPr>
          <w:sz w:val="18"/>
          <w:szCs w:val="18"/>
        </w:rPr>
        <w:tab/>
        <w:t>An Agenda for Peace – Preventive diplomacy, peacemaking and peace-keeping, op. cit. par.</w:t>
      </w:r>
    </w:p>
  </w:footnote>
  <w:footnote w:id="8">
    <w:p w:rsidR="00812207" w:rsidRPr="00262285" w:rsidRDefault="00812207" w:rsidP="00262285">
      <w:pPr>
        <w:tabs>
          <w:tab w:val="left" w:pos="284"/>
        </w:tabs>
        <w:ind w:left="284" w:hanging="284"/>
        <w:rPr>
          <w:sz w:val="18"/>
          <w:szCs w:val="18"/>
        </w:rPr>
      </w:pPr>
      <w:r w:rsidRPr="00262285">
        <w:rPr>
          <w:rStyle w:val="Odkaznapoznmkupodiarou"/>
          <w:sz w:val="18"/>
          <w:szCs w:val="18"/>
        </w:rPr>
        <w:footnoteRef/>
      </w:r>
      <w:r w:rsidRPr="00262285">
        <w:rPr>
          <w:sz w:val="18"/>
          <w:szCs w:val="18"/>
        </w:rPr>
        <w:t xml:space="preserve"> </w:t>
      </w:r>
      <w:r w:rsidRPr="00262285">
        <w:rPr>
          <w:sz w:val="18"/>
          <w:szCs w:val="18"/>
        </w:rPr>
        <w:tab/>
        <w:t xml:space="preserve">Článok 21 Zmluvy o Európskej únii. </w:t>
      </w:r>
    </w:p>
  </w:footnote>
  <w:footnote w:id="9">
    <w:p w:rsidR="00065FB0" w:rsidRPr="00262285" w:rsidRDefault="00065FB0" w:rsidP="00262285">
      <w:pPr>
        <w:pStyle w:val="Textpoznmkypodiarou"/>
        <w:tabs>
          <w:tab w:val="left" w:pos="284"/>
        </w:tabs>
        <w:ind w:left="284" w:hanging="284"/>
        <w:rPr>
          <w:sz w:val="18"/>
          <w:szCs w:val="18"/>
        </w:rPr>
      </w:pPr>
      <w:r w:rsidRPr="00262285">
        <w:rPr>
          <w:rStyle w:val="Odkaznapoznmkupodiarou"/>
          <w:sz w:val="18"/>
          <w:szCs w:val="18"/>
        </w:rPr>
        <w:footnoteRef/>
      </w:r>
      <w:r w:rsidRPr="00262285">
        <w:rPr>
          <w:sz w:val="18"/>
          <w:szCs w:val="18"/>
        </w:rPr>
        <w:t xml:space="preserve"> </w:t>
      </w:r>
      <w:r w:rsidR="00812207" w:rsidRPr="00262285">
        <w:rPr>
          <w:sz w:val="18"/>
          <w:szCs w:val="18"/>
        </w:rPr>
        <w:tab/>
      </w:r>
      <w:r w:rsidRPr="00262285">
        <w:rPr>
          <w:sz w:val="18"/>
          <w:szCs w:val="18"/>
        </w:rPr>
        <w:t>Článok 21, ods. 1 Zmluvy o Európskej únii.</w:t>
      </w:r>
    </w:p>
  </w:footnote>
  <w:footnote w:id="10">
    <w:p w:rsidR="000E187A" w:rsidRPr="00262285" w:rsidRDefault="000E187A" w:rsidP="00262285">
      <w:pPr>
        <w:pStyle w:val="Textpoznmkypodiarou"/>
        <w:tabs>
          <w:tab w:val="left" w:pos="284"/>
        </w:tabs>
        <w:ind w:left="284" w:hanging="284"/>
        <w:rPr>
          <w:sz w:val="18"/>
          <w:szCs w:val="18"/>
        </w:rPr>
      </w:pPr>
      <w:r w:rsidRPr="00262285">
        <w:rPr>
          <w:rStyle w:val="Odkaznapoznmkupodiarou"/>
          <w:sz w:val="18"/>
          <w:szCs w:val="18"/>
        </w:rPr>
        <w:footnoteRef/>
      </w:r>
      <w:r w:rsidRPr="00262285">
        <w:rPr>
          <w:sz w:val="18"/>
          <w:szCs w:val="18"/>
        </w:rPr>
        <w:t xml:space="preserve"> </w:t>
      </w:r>
      <w:r w:rsidRPr="00262285">
        <w:rPr>
          <w:sz w:val="18"/>
          <w:szCs w:val="18"/>
        </w:rPr>
        <w:tab/>
        <w:t xml:space="preserve">Bližšie pozri: European Commission – Restrictive measures in force (Article 215 TFEU), aktuálne k 2.9.2014, online: </w:t>
      </w:r>
      <w:hyperlink r:id="rId2" w:history="1">
        <w:r w:rsidRPr="00262285">
          <w:rPr>
            <w:rStyle w:val="Hypertextovprepojenie"/>
            <w:sz w:val="18"/>
            <w:szCs w:val="18"/>
          </w:rPr>
          <w:t>http://eeas.europa.eu/cfsp/sanctions/docs/measures_en.pdf</w:t>
        </w:r>
      </w:hyperlink>
      <w:r w:rsidRPr="00262285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A64" w:rsidRPr="00471A64" w:rsidRDefault="00471A64" w:rsidP="00471A64">
    <w:pPr>
      <w:pStyle w:val="Hlavika"/>
      <w:ind w:left="5954"/>
      <w:rPr>
        <w:rFonts w:ascii="Garamond" w:hAnsi="Garamond"/>
      </w:rPr>
    </w:pPr>
    <w:r w:rsidRPr="00471A64">
      <w:rPr>
        <w:rFonts w:ascii="Garamond" w:hAnsi="Garamond"/>
      </w:rPr>
      <w:t>Adam Giertl</w:t>
    </w:r>
  </w:p>
  <w:p w:rsidR="00471A64" w:rsidRPr="00471A64" w:rsidRDefault="00471A64" w:rsidP="00471A64">
    <w:pPr>
      <w:pStyle w:val="Hlavika"/>
      <w:ind w:left="5954"/>
      <w:rPr>
        <w:rFonts w:ascii="Garamond" w:hAnsi="Garamond"/>
      </w:rPr>
    </w:pPr>
    <w:r w:rsidRPr="00471A64">
      <w:rPr>
        <w:rFonts w:ascii="Garamond" w:hAnsi="Garamond"/>
      </w:rPr>
      <w:t>Ľubica Gregová Širicová</w:t>
    </w:r>
  </w:p>
  <w:p w:rsidR="00471A64" w:rsidRPr="00471A64" w:rsidRDefault="00471A64" w:rsidP="00471A64">
    <w:pPr>
      <w:pStyle w:val="Hlavika"/>
      <w:jc w:val="right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57592E"/>
    <w:multiLevelType w:val="hybridMultilevel"/>
    <w:tmpl w:val="082A84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7271D"/>
    <w:multiLevelType w:val="hybridMultilevel"/>
    <w:tmpl w:val="6CDEFB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2D5661"/>
    <w:multiLevelType w:val="hybridMultilevel"/>
    <w:tmpl w:val="2C16A4C8"/>
    <w:lvl w:ilvl="0" w:tplc="08D07C26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334D0F"/>
    <w:multiLevelType w:val="hybridMultilevel"/>
    <w:tmpl w:val="E8C6A27A"/>
    <w:lvl w:ilvl="0" w:tplc="3594FC76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CCD52F3"/>
    <w:multiLevelType w:val="hybridMultilevel"/>
    <w:tmpl w:val="EE20C7EE"/>
    <w:lvl w:ilvl="0" w:tplc="9E860F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78F"/>
    <w:rsid w:val="00065FB0"/>
    <w:rsid w:val="000E187A"/>
    <w:rsid w:val="00262285"/>
    <w:rsid w:val="0033370C"/>
    <w:rsid w:val="004408C8"/>
    <w:rsid w:val="004431E5"/>
    <w:rsid w:val="00471A64"/>
    <w:rsid w:val="005940BE"/>
    <w:rsid w:val="006D56E2"/>
    <w:rsid w:val="007A15AB"/>
    <w:rsid w:val="007E6F4C"/>
    <w:rsid w:val="00807E19"/>
    <w:rsid w:val="00812207"/>
    <w:rsid w:val="008403A2"/>
    <w:rsid w:val="008A1D7F"/>
    <w:rsid w:val="009637A4"/>
    <w:rsid w:val="00A145E0"/>
    <w:rsid w:val="00AA60FA"/>
    <w:rsid w:val="00CA56E6"/>
    <w:rsid w:val="00CE0514"/>
    <w:rsid w:val="00E2661A"/>
    <w:rsid w:val="00E91F65"/>
    <w:rsid w:val="00F6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37620F-9B9F-4F9F-87D1-505D57F8A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3370C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6178F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07E1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07E19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807E19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0E187A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5940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940BE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5940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940B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eas.europa.eu/cfsp/sanctions/docs/measures_en.pdf" TargetMode="External"/><Relationship Id="rId1" Type="http://schemas.openxmlformats.org/officeDocument/2006/relationships/hyperlink" Target="http://www.comm.ecowas.int/sec/index.php?id=ap101299&amp;lang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D99F1-BF2E-4DF0-A0A1-47F907EED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5</Pages>
  <Words>1746</Words>
  <Characters>9954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 Giertl</cp:lastModifiedBy>
  <cp:revision>3</cp:revision>
  <dcterms:created xsi:type="dcterms:W3CDTF">2014-12-10T16:11:00Z</dcterms:created>
  <dcterms:modified xsi:type="dcterms:W3CDTF">2014-12-11T10:41:00Z</dcterms:modified>
</cp:coreProperties>
</file>