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170" w:rsidRPr="002865EC" w:rsidRDefault="00171870" w:rsidP="00171870">
      <w:pPr>
        <w:jc w:val="center"/>
        <w:rPr>
          <w:rFonts w:ascii="Times New Roman" w:hAnsi="Times New Roman" w:cs="Times New Roman"/>
          <w:b/>
          <w:sz w:val="26"/>
          <w:szCs w:val="26"/>
        </w:rPr>
      </w:pPr>
      <w:r w:rsidRPr="002865EC">
        <w:rPr>
          <w:rFonts w:ascii="Times New Roman" w:hAnsi="Times New Roman" w:cs="Times New Roman"/>
          <w:b/>
          <w:sz w:val="26"/>
          <w:szCs w:val="26"/>
        </w:rPr>
        <w:t>Pramene práva inej ako vnútroštátnej povahy – Európske právo a jeho vzťah k medzinárodnému právu</w:t>
      </w:r>
    </w:p>
    <w:p w:rsidR="00820FBD" w:rsidRPr="002865EC" w:rsidRDefault="00820FBD" w:rsidP="00820FBD">
      <w:pPr>
        <w:jc w:val="both"/>
        <w:rPr>
          <w:rFonts w:ascii="Times New Roman" w:hAnsi="Times New Roman" w:cs="Times New Roman"/>
          <w:sz w:val="26"/>
          <w:szCs w:val="26"/>
        </w:rPr>
      </w:pPr>
    </w:p>
    <w:p w:rsidR="00AB5548" w:rsidRPr="00630539" w:rsidRDefault="002A0A21" w:rsidP="00630539">
      <w:pPr>
        <w:spacing w:line="240" w:lineRule="auto"/>
        <w:ind w:firstLine="708"/>
        <w:jc w:val="both"/>
        <w:rPr>
          <w:rFonts w:ascii="Times New Roman" w:hAnsi="Times New Roman" w:cs="Times New Roman"/>
          <w:bCs/>
          <w:iCs/>
          <w:sz w:val="24"/>
          <w:szCs w:val="24"/>
        </w:rPr>
      </w:pPr>
      <w:r>
        <w:rPr>
          <w:rFonts w:ascii="Times New Roman" w:hAnsi="Times New Roman" w:cs="Times New Roman"/>
          <w:b/>
          <w:bCs/>
          <w:i/>
          <w:iCs/>
          <w:sz w:val="24"/>
          <w:szCs w:val="24"/>
        </w:rPr>
        <w:t xml:space="preserve">(I.) </w:t>
      </w:r>
      <w:r w:rsidR="00104EFB" w:rsidRPr="00630539">
        <w:rPr>
          <w:rFonts w:ascii="Times New Roman" w:hAnsi="Times New Roman" w:cs="Times New Roman"/>
          <w:b/>
          <w:bCs/>
          <w:i/>
          <w:iCs/>
          <w:sz w:val="24"/>
          <w:szCs w:val="24"/>
        </w:rPr>
        <w:t>Právo EÚ</w:t>
      </w:r>
      <w:r w:rsidR="00104EFB" w:rsidRPr="00630539">
        <w:rPr>
          <w:rFonts w:ascii="Times New Roman" w:hAnsi="Times New Roman" w:cs="Times New Roman"/>
          <w:bCs/>
          <w:iCs/>
          <w:sz w:val="24"/>
          <w:szCs w:val="24"/>
        </w:rPr>
        <w:t xml:space="preserve"> – pojem označujúci súhrn právnych noriem EÚ vytvorených jednak štátmi (ako nositeľmi pôvodnej suverenity) a jednak orgánmi EÚ vyjadrených v rôznych právnych formách</w:t>
      </w:r>
      <w:r w:rsidR="00E17287" w:rsidRPr="00630539">
        <w:rPr>
          <w:rFonts w:ascii="Times New Roman" w:hAnsi="Times New Roman" w:cs="Times New Roman"/>
          <w:bCs/>
          <w:iCs/>
          <w:sz w:val="24"/>
          <w:szCs w:val="24"/>
        </w:rPr>
        <w:t xml:space="preserve">, </w:t>
      </w:r>
      <w:r w:rsidR="00104EFB" w:rsidRPr="00630539">
        <w:rPr>
          <w:rFonts w:ascii="Times New Roman" w:hAnsi="Times New Roman" w:cs="Times New Roman"/>
          <w:bCs/>
          <w:iCs/>
          <w:sz w:val="24"/>
          <w:szCs w:val="24"/>
        </w:rPr>
        <w:t xml:space="preserve">napr. </w:t>
      </w:r>
      <w:r w:rsidR="00E17287" w:rsidRPr="00630539">
        <w:rPr>
          <w:rFonts w:ascii="Times New Roman" w:hAnsi="Times New Roman" w:cs="Times New Roman"/>
          <w:bCs/>
          <w:iCs/>
          <w:sz w:val="24"/>
          <w:szCs w:val="24"/>
        </w:rPr>
        <w:t xml:space="preserve">v </w:t>
      </w:r>
      <w:r w:rsidR="00104EFB" w:rsidRPr="00630539">
        <w:rPr>
          <w:rFonts w:ascii="Times New Roman" w:hAnsi="Times New Roman" w:cs="Times New Roman"/>
          <w:bCs/>
          <w:iCs/>
          <w:sz w:val="24"/>
          <w:szCs w:val="24"/>
        </w:rPr>
        <w:t>medzinárodných zmluvách uzavretých členskými štátmi</w:t>
      </w:r>
      <w:r w:rsidR="00E17287" w:rsidRPr="00630539">
        <w:rPr>
          <w:rFonts w:ascii="Times New Roman" w:hAnsi="Times New Roman" w:cs="Times New Roman"/>
          <w:bCs/>
          <w:iCs/>
          <w:sz w:val="24"/>
          <w:szCs w:val="24"/>
        </w:rPr>
        <w:t xml:space="preserve"> (</w:t>
      </w:r>
      <w:r w:rsidR="00850305">
        <w:rPr>
          <w:rFonts w:ascii="Times New Roman" w:hAnsi="Times New Roman" w:cs="Times New Roman"/>
          <w:bCs/>
          <w:iCs/>
          <w:sz w:val="24"/>
          <w:szCs w:val="24"/>
        </w:rPr>
        <w:t xml:space="preserve">písané </w:t>
      </w:r>
      <w:r w:rsidR="00E17287" w:rsidRPr="00630539">
        <w:rPr>
          <w:rFonts w:ascii="Times New Roman" w:hAnsi="Times New Roman" w:cs="Times New Roman"/>
          <w:bCs/>
          <w:iCs/>
          <w:sz w:val="24"/>
          <w:szCs w:val="24"/>
        </w:rPr>
        <w:t>primárne právo EÚ)</w:t>
      </w:r>
      <w:r w:rsidR="00104EFB" w:rsidRPr="00630539">
        <w:rPr>
          <w:rFonts w:ascii="Times New Roman" w:hAnsi="Times New Roman" w:cs="Times New Roman"/>
          <w:bCs/>
          <w:iCs/>
          <w:sz w:val="24"/>
          <w:szCs w:val="24"/>
        </w:rPr>
        <w:t>, ale</w:t>
      </w:r>
      <w:r w:rsidR="00E17287" w:rsidRPr="00630539">
        <w:rPr>
          <w:rFonts w:ascii="Times New Roman" w:hAnsi="Times New Roman" w:cs="Times New Roman"/>
          <w:bCs/>
          <w:iCs/>
          <w:sz w:val="24"/>
          <w:szCs w:val="24"/>
        </w:rPr>
        <w:t xml:space="preserve">bo v právnych aktoch (nariadeniach, smerniciach, rozhodnutiach, odporúčania a stanoviskách) prijatých </w:t>
      </w:r>
      <w:r w:rsidR="00104EFB" w:rsidRPr="00630539">
        <w:rPr>
          <w:rFonts w:ascii="Times New Roman" w:hAnsi="Times New Roman" w:cs="Times New Roman"/>
          <w:bCs/>
          <w:iCs/>
          <w:sz w:val="24"/>
          <w:szCs w:val="24"/>
        </w:rPr>
        <w:t xml:space="preserve">orgánmi </w:t>
      </w:r>
      <w:r w:rsidR="00E17287" w:rsidRPr="00630539">
        <w:rPr>
          <w:rFonts w:ascii="Times New Roman" w:hAnsi="Times New Roman" w:cs="Times New Roman"/>
          <w:bCs/>
          <w:iCs/>
          <w:sz w:val="24"/>
          <w:szCs w:val="24"/>
        </w:rPr>
        <w:t>E</w:t>
      </w:r>
      <w:r w:rsidR="00104EFB" w:rsidRPr="00630539">
        <w:rPr>
          <w:rFonts w:ascii="Times New Roman" w:hAnsi="Times New Roman" w:cs="Times New Roman"/>
          <w:bCs/>
          <w:iCs/>
          <w:sz w:val="24"/>
          <w:szCs w:val="24"/>
        </w:rPr>
        <w:t>Ú</w:t>
      </w:r>
      <w:r w:rsidR="00850305">
        <w:rPr>
          <w:rFonts w:ascii="Times New Roman" w:hAnsi="Times New Roman" w:cs="Times New Roman"/>
          <w:bCs/>
          <w:iCs/>
          <w:sz w:val="24"/>
          <w:szCs w:val="24"/>
        </w:rPr>
        <w:t xml:space="preserve"> (sekundárne právo EÚ)</w:t>
      </w:r>
      <w:r w:rsidR="00104EFB" w:rsidRPr="00630539">
        <w:rPr>
          <w:rFonts w:ascii="Times New Roman" w:hAnsi="Times New Roman" w:cs="Times New Roman"/>
          <w:bCs/>
          <w:iCs/>
          <w:sz w:val="24"/>
          <w:szCs w:val="24"/>
        </w:rPr>
        <w:t>,</w:t>
      </w:r>
      <w:r w:rsidR="00E17287" w:rsidRPr="00630539">
        <w:rPr>
          <w:rFonts w:ascii="Times New Roman" w:hAnsi="Times New Roman" w:cs="Times New Roman"/>
          <w:bCs/>
          <w:iCs/>
          <w:sz w:val="24"/>
          <w:szCs w:val="24"/>
        </w:rPr>
        <w:t xml:space="preserve"> či vo forme všeobecných právnych zásadách</w:t>
      </w:r>
      <w:r w:rsidR="00850305">
        <w:rPr>
          <w:rFonts w:ascii="Times New Roman" w:hAnsi="Times New Roman" w:cs="Times New Roman"/>
          <w:bCs/>
          <w:iCs/>
          <w:sz w:val="24"/>
          <w:szCs w:val="24"/>
        </w:rPr>
        <w:t xml:space="preserve"> (nepísané primárne právo EÚ)</w:t>
      </w:r>
      <w:r w:rsidR="00E17287" w:rsidRPr="00630539">
        <w:rPr>
          <w:rFonts w:ascii="Times New Roman" w:hAnsi="Times New Roman" w:cs="Times New Roman"/>
          <w:bCs/>
          <w:iCs/>
          <w:sz w:val="24"/>
          <w:szCs w:val="24"/>
        </w:rPr>
        <w:t>.</w:t>
      </w:r>
    </w:p>
    <w:p w:rsidR="00AB5548" w:rsidRPr="00630539" w:rsidRDefault="00E17287" w:rsidP="00630539">
      <w:pPr>
        <w:spacing w:line="240" w:lineRule="auto"/>
        <w:ind w:firstLine="708"/>
        <w:jc w:val="both"/>
        <w:rPr>
          <w:rFonts w:ascii="Times New Roman" w:hAnsi="Times New Roman" w:cs="Times New Roman"/>
          <w:bCs/>
          <w:iCs/>
          <w:sz w:val="24"/>
          <w:szCs w:val="24"/>
        </w:rPr>
      </w:pPr>
      <w:r w:rsidRPr="00630539">
        <w:rPr>
          <w:rFonts w:ascii="Times New Roman" w:hAnsi="Times New Roman" w:cs="Times New Roman"/>
          <w:bCs/>
          <w:iCs/>
          <w:sz w:val="24"/>
          <w:szCs w:val="24"/>
        </w:rPr>
        <w:t xml:space="preserve">Do nadobudnutia platnosti Lisabonskej zmluvy </w:t>
      </w:r>
      <w:r w:rsidR="00AB5548" w:rsidRPr="00630539">
        <w:rPr>
          <w:rFonts w:ascii="Times New Roman" w:hAnsi="Times New Roman" w:cs="Times New Roman"/>
          <w:bCs/>
          <w:iCs/>
          <w:sz w:val="24"/>
          <w:szCs w:val="24"/>
        </w:rPr>
        <w:t xml:space="preserve">právo EÚ </w:t>
      </w:r>
      <w:r w:rsidRPr="00630539">
        <w:rPr>
          <w:rFonts w:ascii="Times New Roman" w:hAnsi="Times New Roman" w:cs="Times New Roman"/>
          <w:bCs/>
          <w:iCs/>
          <w:sz w:val="24"/>
          <w:szCs w:val="24"/>
        </w:rPr>
        <w:t>pozostával</w:t>
      </w:r>
      <w:r w:rsidR="00AB5548" w:rsidRPr="00630539">
        <w:rPr>
          <w:rFonts w:ascii="Times New Roman" w:hAnsi="Times New Roman" w:cs="Times New Roman"/>
          <w:bCs/>
          <w:iCs/>
          <w:sz w:val="24"/>
          <w:szCs w:val="24"/>
        </w:rPr>
        <w:t>o</w:t>
      </w:r>
      <w:r w:rsidRPr="00630539">
        <w:rPr>
          <w:rFonts w:ascii="Times New Roman" w:hAnsi="Times New Roman" w:cs="Times New Roman"/>
          <w:bCs/>
          <w:iCs/>
          <w:sz w:val="24"/>
          <w:szCs w:val="24"/>
        </w:rPr>
        <w:t xml:space="preserve"> z dvoch subsystémov, </w:t>
      </w:r>
      <w:r w:rsidR="00104EFB" w:rsidRPr="00630539">
        <w:rPr>
          <w:rFonts w:ascii="Times New Roman" w:hAnsi="Times New Roman" w:cs="Times New Roman"/>
          <w:bCs/>
          <w:iCs/>
          <w:sz w:val="24"/>
          <w:szCs w:val="24"/>
        </w:rPr>
        <w:t xml:space="preserve">-  </w:t>
      </w:r>
      <w:r w:rsidR="00104EFB" w:rsidRPr="00630539">
        <w:rPr>
          <w:rFonts w:ascii="Times New Roman" w:hAnsi="Times New Roman" w:cs="Times New Roman"/>
          <w:bCs/>
          <w:i/>
          <w:iCs/>
          <w:sz w:val="24"/>
          <w:szCs w:val="24"/>
        </w:rPr>
        <w:t>komunitárneho práva</w:t>
      </w:r>
      <w:r w:rsidR="00104EFB" w:rsidRPr="00630539">
        <w:rPr>
          <w:rFonts w:ascii="Times New Roman" w:hAnsi="Times New Roman" w:cs="Times New Roman"/>
          <w:bCs/>
          <w:iCs/>
          <w:sz w:val="24"/>
          <w:szCs w:val="24"/>
        </w:rPr>
        <w:t xml:space="preserve"> – práva tvoreného v rámci nadnárodných Európskych spoločenstiev predstavujúcich 1.pilier EÚ</w:t>
      </w:r>
      <w:r w:rsidRPr="00630539">
        <w:rPr>
          <w:rFonts w:ascii="Times New Roman" w:hAnsi="Times New Roman" w:cs="Times New Roman"/>
          <w:bCs/>
          <w:iCs/>
          <w:sz w:val="24"/>
          <w:szCs w:val="24"/>
        </w:rPr>
        <w:t xml:space="preserve"> a - </w:t>
      </w:r>
      <w:r w:rsidR="00104EFB" w:rsidRPr="00630539">
        <w:rPr>
          <w:rFonts w:ascii="Times New Roman" w:hAnsi="Times New Roman" w:cs="Times New Roman"/>
          <w:bCs/>
          <w:i/>
          <w:iCs/>
          <w:sz w:val="24"/>
          <w:szCs w:val="24"/>
        </w:rPr>
        <w:t xml:space="preserve">úniového práva -  </w:t>
      </w:r>
      <w:r w:rsidR="00104EFB" w:rsidRPr="00630539">
        <w:rPr>
          <w:rFonts w:ascii="Times New Roman" w:hAnsi="Times New Roman" w:cs="Times New Roman"/>
          <w:bCs/>
          <w:iCs/>
          <w:sz w:val="24"/>
          <w:szCs w:val="24"/>
        </w:rPr>
        <w:t>práva tvoreného v rámci 2. a 3.piliera EÚ budovaných na zásadách medzinárodnej spolupráce</w:t>
      </w:r>
      <w:r w:rsidRPr="00630539">
        <w:rPr>
          <w:rFonts w:ascii="Times New Roman" w:hAnsi="Times New Roman" w:cs="Times New Roman"/>
          <w:bCs/>
          <w:iCs/>
          <w:sz w:val="24"/>
          <w:szCs w:val="24"/>
        </w:rPr>
        <w:t xml:space="preserve">. Lisabonská zmluva, ktorou sa EÚ stala právnym nástupcom Európskeho spoločenstva, odstraňuje tento dualizmus. Od jej platnosti na nadnárodnej úrovni pôsobí ako </w:t>
      </w:r>
      <w:proofErr w:type="spellStart"/>
      <w:r w:rsidRPr="00630539">
        <w:rPr>
          <w:rFonts w:ascii="Times New Roman" w:hAnsi="Times New Roman" w:cs="Times New Roman"/>
          <w:bCs/>
          <w:iCs/>
          <w:sz w:val="24"/>
          <w:szCs w:val="24"/>
        </w:rPr>
        <w:t>supranacionálny</w:t>
      </w:r>
      <w:proofErr w:type="spellEnd"/>
      <w:r w:rsidRPr="00630539">
        <w:rPr>
          <w:rFonts w:ascii="Times New Roman" w:hAnsi="Times New Roman" w:cs="Times New Roman"/>
          <w:bCs/>
          <w:iCs/>
          <w:sz w:val="24"/>
          <w:szCs w:val="24"/>
        </w:rPr>
        <w:t xml:space="preserve"> subjekt Európska únia (</w:t>
      </w:r>
      <w:r w:rsidR="00FC67E5" w:rsidRPr="00630539">
        <w:rPr>
          <w:rFonts w:ascii="Times New Roman" w:hAnsi="Times New Roman" w:cs="Times New Roman"/>
          <w:bCs/>
          <w:iCs/>
          <w:sz w:val="24"/>
          <w:szCs w:val="24"/>
        </w:rPr>
        <w:t>okrem nej, z pôvodných troch Európskych spoločenstiev stojacich na počiatku integrácie v Európe v 50-tych rokoch minulého storočia, do dnešných dní funguje už len Európske spoločenstvo pre atómovú energiu - EUROATOM)</w:t>
      </w:r>
      <w:r w:rsidRPr="00630539">
        <w:rPr>
          <w:rFonts w:ascii="Times New Roman" w:hAnsi="Times New Roman" w:cs="Times New Roman"/>
          <w:bCs/>
          <w:iCs/>
          <w:sz w:val="24"/>
          <w:szCs w:val="24"/>
        </w:rPr>
        <w:t>, ktorej orgány vytvárajú právo</w:t>
      </w:r>
      <w:r w:rsidR="00FC67E5" w:rsidRPr="00630539">
        <w:rPr>
          <w:rFonts w:ascii="Times New Roman" w:hAnsi="Times New Roman" w:cs="Times New Roman"/>
          <w:bCs/>
          <w:iCs/>
          <w:sz w:val="24"/>
          <w:szCs w:val="24"/>
        </w:rPr>
        <w:t xml:space="preserve"> označované ako </w:t>
      </w:r>
      <w:proofErr w:type="spellStart"/>
      <w:r w:rsidR="00FC67E5" w:rsidRPr="00630539">
        <w:rPr>
          <w:rFonts w:ascii="Times New Roman" w:hAnsi="Times New Roman" w:cs="Times New Roman"/>
          <w:bCs/>
          <w:iCs/>
          <w:sz w:val="24"/>
          <w:szCs w:val="24"/>
        </w:rPr>
        <w:t>únijné</w:t>
      </w:r>
      <w:proofErr w:type="spellEnd"/>
      <w:r w:rsidR="00D0306F">
        <w:rPr>
          <w:rFonts w:ascii="Times New Roman" w:hAnsi="Times New Roman" w:cs="Times New Roman"/>
          <w:bCs/>
          <w:iCs/>
          <w:sz w:val="24"/>
          <w:szCs w:val="24"/>
        </w:rPr>
        <w:t xml:space="preserve"> právo</w:t>
      </w:r>
      <w:r w:rsidR="00FC67E5" w:rsidRPr="00630539">
        <w:rPr>
          <w:rFonts w:ascii="Times New Roman" w:hAnsi="Times New Roman" w:cs="Times New Roman"/>
          <w:bCs/>
          <w:iCs/>
          <w:sz w:val="24"/>
          <w:szCs w:val="24"/>
        </w:rPr>
        <w:t xml:space="preserve">. Pojmom komunitárne právo v súčasnosti možno označiť právo vytvárané v rámci </w:t>
      </w:r>
      <w:proofErr w:type="spellStart"/>
      <w:r w:rsidR="00FC67E5" w:rsidRPr="00630539">
        <w:rPr>
          <w:rFonts w:ascii="Times New Roman" w:hAnsi="Times New Roman" w:cs="Times New Roman"/>
          <w:bCs/>
          <w:iCs/>
          <w:sz w:val="24"/>
          <w:szCs w:val="24"/>
        </w:rPr>
        <w:t>EUROATOMu</w:t>
      </w:r>
      <w:proofErr w:type="spellEnd"/>
      <w:r w:rsidR="00FC67E5" w:rsidRPr="00630539">
        <w:rPr>
          <w:rFonts w:ascii="Times New Roman" w:hAnsi="Times New Roman" w:cs="Times New Roman"/>
          <w:bCs/>
          <w:iCs/>
          <w:sz w:val="24"/>
          <w:szCs w:val="24"/>
        </w:rPr>
        <w:t xml:space="preserve">. </w:t>
      </w:r>
      <w:r w:rsidR="000E5B9F">
        <w:rPr>
          <w:rFonts w:ascii="Times New Roman" w:hAnsi="Times New Roman" w:cs="Times New Roman"/>
          <w:bCs/>
          <w:iCs/>
          <w:sz w:val="24"/>
          <w:szCs w:val="24"/>
        </w:rPr>
        <w:t xml:space="preserve">Aj po zániku </w:t>
      </w:r>
      <w:proofErr w:type="spellStart"/>
      <w:r w:rsidR="000E5B9F">
        <w:rPr>
          <w:rFonts w:ascii="Times New Roman" w:hAnsi="Times New Roman" w:cs="Times New Roman"/>
          <w:bCs/>
          <w:iCs/>
          <w:sz w:val="24"/>
          <w:szCs w:val="24"/>
        </w:rPr>
        <w:t>trojpilierovej</w:t>
      </w:r>
      <w:proofErr w:type="spellEnd"/>
      <w:r w:rsidR="000E5B9F">
        <w:rPr>
          <w:rFonts w:ascii="Times New Roman" w:hAnsi="Times New Roman" w:cs="Times New Roman"/>
          <w:bCs/>
          <w:iCs/>
          <w:sz w:val="24"/>
          <w:szCs w:val="24"/>
        </w:rPr>
        <w:t xml:space="preserve"> štruktúry EÚ Lisabonskou zmluvou, sa však oblasť spoločnej zahraničnej a bezpečnostnej politiky (bývalý 2. pilier EÚ) vyznačuje určitými špecifikami (pozri čl. 24 ZEÚ v znení Lisabonskej zmluvy)</w:t>
      </w:r>
      <w:r w:rsidR="00D0306F">
        <w:rPr>
          <w:rFonts w:ascii="Times New Roman" w:hAnsi="Times New Roman" w:cs="Times New Roman"/>
          <w:bCs/>
          <w:iCs/>
          <w:sz w:val="24"/>
          <w:szCs w:val="24"/>
        </w:rPr>
        <w:t>.</w:t>
      </w:r>
      <w:r w:rsidR="000E5B9F">
        <w:rPr>
          <w:rFonts w:ascii="Times New Roman" w:hAnsi="Times New Roman" w:cs="Times New Roman"/>
          <w:bCs/>
          <w:iCs/>
          <w:sz w:val="24"/>
          <w:szCs w:val="24"/>
        </w:rPr>
        <w:t xml:space="preserve"> </w:t>
      </w:r>
      <w:r w:rsidR="00FC67E5" w:rsidRPr="00630539">
        <w:rPr>
          <w:rFonts w:ascii="Times New Roman" w:hAnsi="Times New Roman" w:cs="Times New Roman"/>
          <w:bCs/>
          <w:iCs/>
          <w:sz w:val="24"/>
          <w:szCs w:val="24"/>
        </w:rPr>
        <w:t xml:space="preserve"> </w:t>
      </w:r>
      <w:r w:rsidRPr="00630539">
        <w:rPr>
          <w:rFonts w:ascii="Times New Roman" w:hAnsi="Times New Roman" w:cs="Times New Roman"/>
          <w:bCs/>
          <w:iCs/>
          <w:sz w:val="24"/>
          <w:szCs w:val="24"/>
        </w:rPr>
        <w:t xml:space="preserve">  </w:t>
      </w:r>
    </w:p>
    <w:p w:rsidR="00820FBD" w:rsidRPr="008B5DD1" w:rsidRDefault="00CB509C" w:rsidP="008B5DD1">
      <w:pPr>
        <w:spacing w:line="240" w:lineRule="auto"/>
        <w:ind w:firstLine="708"/>
        <w:jc w:val="both"/>
        <w:rPr>
          <w:rFonts w:ascii="Times New Roman" w:hAnsi="Times New Roman" w:cs="Times New Roman"/>
          <w:b/>
          <w:bCs/>
          <w:i/>
          <w:iCs/>
          <w:sz w:val="24"/>
          <w:szCs w:val="24"/>
        </w:rPr>
      </w:pPr>
      <w:r w:rsidRPr="008B5DD1">
        <w:rPr>
          <w:rFonts w:ascii="Times New Roman" w:hAnsi="Times New Roman" w:cs="Times New Roman"/>
          <w:b/>
          <w:bCs/>
          <w:i/>
          <w:iCs/>
          <w:sz w:val="24"/>
          <w:szCs w:val="24"/>
        </w:rPr>
        <w:t xml:space="preserve">Právo EÚ </w:t>
      </w:r>
      <w:r w:rsidR="00820FBD" w:rsidRPr="008B5DD1">
        <w:rPr>
          <w:rFonts w:ascii="Times New Roman" w:hAnsi="Times New Roman" w:cs="Times New Roman"/>
          <w:b/>
          <w:bCs/>
          <w:i/>
          <w:iCs/>
          <w:sz w:val="24"/>
          <w:szCs w:val="24"/>
        </w:rPr>
        <w:t xml:space="preserve">ako samostatný </w:t>
      </w:r>
      <w:proofErr w:type="spellStart"/>
      <w:r w:rsidRPr="008B5DD1">
        <w:rPr>
          <w:rFonts w:ascii="Times New Roman" w:hAnsi="Times New Roman" w:cs="Times New Roman"/>
          <w:b/>
          <w:bCs/>
          <w:i/>
          <w:iCs/>
          <w:sz w:val="24"/>
          <w:szCs w:val="24"/>
        </w:rPr>
        <w:t>sui</w:t>
      </w:r>
      <w:proofErr w:type="spellEnd"/>
      <w:r w:rsidRPr="008B5DD1">
        <w:rPr>
          <w:rFonts w:ascii="Times New Roman" w:hAnsi="Times New Roman" w:cs="Times New Roman"/>
          <w:b/>
          <w:bCs/>
          <w:i/>
          <w:iCs/>
          <w:sz w:val="24"/>
          <w:szCs w:val="24"/>
        </w:rPr>
        <w:t xml:space="preserve"> </w:t>
      </w:r>
      <w:proofErr w:type="spellStart"/>
      <w:r w:rsidRPr="008B5DD1">
        <w:rPr>
          <w:rFonts w:ascii="Times New Roman" w:hAnsi="Times New Roman" w:cs="Times New Roman"/>
          <w:b/>
          <w:bCs/>
          <w:i/>
          <w:iCs/>
          <w:sz w:val="24"/>
          <w:szCs w:val="24"/>
        </w:rPr>
        <w:t>generis</w:t>
      </w:r>
      <w:proofErr w:type="spellEnd"/>
      <w:r w:rsidRPr="008B5DD1">
        <w:rPr>
          <w:rFonts w:ascii="Times New Roman" w:hAnsi="Times New Roman" w:cs="Times New Roman"/>
          <w:b/>
          <w:bCs/>
          <w:i/>
          <w:iCs/>
          <w:sz w:val="24"/>
          <w:szCs w:val="24"/>
        </w:rPr>
        <w:t xml:space="preserve"> </w:t>
      </w:r>
      <w:r w:rsidR="00820FBD" w:rsidRPr="008B5DD1">
        <w:rPr>
          <w:rFonts w:ascii="Times New Roman" w:hAnsi="Times New Roman" w:cs="Times New Roman"/>
          <w:b/>
          <w:bCs/>
          <w:i/>
          <w:iCs/>
          <w:sz w:val="24"/>
          <w:szCs w:val="24"/>
        </w:rPr>
        <w:t>právny poriadok:</w:t>
      </w:r>
    </w:p>
    <w:p w:rsidR="00820FBD" w:rsidRPr="00630539" w:rsidRDefault="00CB509C" w:rsidP="00630539">
      <w:pPr>
        <w:spacing w:line="240" w:lineRule="auto"/>
        <w:ind w:firstLine="708"/>
        <w:jc w:val="both"/>
        <w:rPr>
          <w:rFonts w:ascii="Times New Roman" w:hAnsi="Times New Roman" w:cs="Times New Roman"/>
          <w:bCs/>
          <w:iCs/>
          <w:sz w:val="24"/>
          <w:szCs w:val="24"/>
        </w:rPr>
      </w:pPr>
      <w:r w:rsidRPr="00630539">
        <w:rPr>
          <w:rFonts w:ascii="Times New Roman" w:hAnsi="Times New Roman" w:cs="Times New Roman"/>
          <w:bCs/>
          <w:iCs/>
          <w:sz w:val="24"/>
          <w:szCs w:val="24"/>
        </w:rPr>
        <w:t>V</w:t>
      </w:r>
      <w:r w:rsidR="006D7260" w:rsidRPr="00630539">
        <w:rPr>
          <w:rFonts w:ascii="Times New Roman" w:hAnsi="Times New Roman" w:cs="Times New Roman"/>
          <w:bCs/>
          <w:iCs/>
          <w:sz w:val="24"/>
          <w:szCs w:val="24"/>
        </w:rPr>
        <w:t xml:space="preserve"> rozsudku </w:t>
      </w:r>
      <w:r w:rsidRPr="00630539">
        <w:rPr>
          <w:rFonts w:ascii="Times New Roman" w:hAnsi="Times New Roman" w:cs="Times New Roman"/>
          <w:bCs/>
          <w:iCs/>
          <w:sz w:val="24"/>
          <w:szCs w:val="24"/>
        </w:rPr>
        <w:t xml:space="preserve">vo veci </w:t>
      </w:r>
      <w:proofErr w:type="spellStart"/>
      <w:r w:rsidR="00820FBD" w:rsidRPr="00630539">
        <w:rPr>
          <w:rFonts w:ascii="Times New Roman" w:hAnsi="Times New Roman" w:cs="Times New Roman"/>
          <w:bCs/>
          <w:i/>
          <w:iCs/>
          <w:sz w:val="24"/>
          <w:szCs w:val="24"/>
        </w:rPr>
        <w:t>van</w:t>
      </w:r>
      <w:proofErr w:type="spellEnd"/>
      <w:r w:rsidR="00820FBD" w:rsidRPr="00630539">
        <w:rPr>
          <w:rFonts w:ascii="Times New Roman" w:hAnsi="Times New Roman" w:cs="Times New Roman"/>
          <w:bCs/>
          <w:i/>
          <w:iCs/>
          <w:sz w:val="24"/>
          <w:szCs w:val="24"/>
        </w:rPr>
        <w:t xml:space="preserve"> </w:t>
      </w:r>
      <w:proofErr w:type="spellStart"/>
      <w:r w:rsidR="00820FBD" w:rsidRPr="00630539">
        <w:rPr>
          <w:rFonts w:ascii="Times New Roman" w:hAnsi="Times New Roman" w:cs="Times New Roman"/>
          <w:bCs/>
          <w:i/>
          <w:iCs/>
          <w:sz w:val="24"/>
          <w:szCs w:val="24"/>
        </w:rPr>
        <w:t>Gend</w:t>
      </w:r>
      <w:proofErr w:type="spellEnd"/>
      <w:r w:rsidR="00820FBD" w:rsidRPr="00630539">
        <w:rPr>
          <w:rFonts w:ascii="Times New Roman" w:hAnsi="Times New Roman" w:cs="Times New Roman"/>
          <w:bCs/>
          <w:i/>
          <w:iCs/>
          <w:sz w:val="24"/>
          <w:szCs w:val="24"/>
        </w:rPr>
        <w:t xml:space="preserve"> and </w:t>
      </w:r>
      <w:proofErr w:type="spellStart"/>
      <w:r w:rsidR="00820FBD" w:rsidRPr="00630539">
        <w:rPr>
          <w:rFonts w:ascii="Times New Roman" w:hAnsi="Times New Roman" w:cs="Times New Roman"/>
          <w:bCs/>
          <w:i/>
          <w:iCs/>
          <w:sz w:val="24"/>
          <w:szCs w:val="24"/>
        </w:rPr>
        <w:t>Loos</w:t>
      </w:r>
      <w:proofErr w:type="spellEnd"/>
      <w:r w:rsidRPr="00630539">
        <w:rPr>
          <w:rFonts w:ascii="Times New Roman" w:hAnsi="Times New Roman" w:cs="Times New Roman"/>
          <w:bCs/>
          <w:iCs/>
          <w:sz w:val="24"/>
          <w:szCs w:val="24"/>
        </w:rPr>
        <w:t xml:space="preserve"> (26-62) Súdny dvor EÚ (</w:t>
      </w:r>
      <w:r w:rsidR="00820FBD" w:rsidRPr="00630539">
        <w:rPr>
          <w:rFonts w:ascii="Times New Roman" w:hAnsi="Times New Roman" w:cs="Times New Roman"/>
          <w:bCs/>
          <w:iCs/>
          <w:sz w:val="24"/>
          <w:szCs w:val="24"/>
        </w:rPr>
        <w:t>ES</w:t>
      </w:r>
      <w:r w:rsidRPr="00630539">
        <w:rPr>
          <w:rFonts w:ascii="Times New Roman" w:hAnsi="Times New Roman" w:cs="Times New Roman"/>
          <w:bCs/>
          <w:iCs/>
          <w:sz w:val="24"/>
          <w:szCs w:val="24"/>
        </w:rPr>
        <w:t>)</w:t>
      </w:r>
      <w:r w:rsidR="00820FBD" w:rsidRPr="00630539">
        <w:rPr>
          <w:rFonts w:ascii="Times New Roman" w:hAnsi="Times New Roman" w:cs="Times New Roman"/>
          <w:bCs/>
          <w:iCs/>
          <w:sz w:val="24"/>
          <w:szCs w:val="24"/>
        </w:rPr>
        <w:t xml:space="preserve"> poukázal na to, že zakladajúca zmluva</w:t>
      </w:r>
      <w:r w:rsidRPr="00630539">
        <w:rPr>
          <w:rFonts w:ascii="Times New Roman" w:hAnsi="Times New Roman" w:cs="Times New Roman"/>
          <w:bCs/>
          <w:iCs/>
          <w:sz w:val="24"/>
          <w:szCs w:val="24"/>
        </w:rPr>
        <w:t xml:space="preserve"> (zmluva zak</w:t>
      </w:r>
      <w:r w:rsidR="006D7260" w:rsidRPr="00630539">
        <w:rPr>
          <w:rFonts w:ascii="Times New Roman" w:hAnsi="Times New Roman" w:cs="Times New Roman"/>
          <w:bCs/>
          <w:iCs/>
          <w:sz w:val="24"/>
          <w:szCs w:val="24"/>
        </w:rPr>
        <w:t>ladajúca Európske hospodárske spoločenstvo - ZEHS)</w:t>
      </w:r>
      <w:r w:rsidRPr="00630539">
        <w:rPr>
          <w:rFonts w:ascii="Times New Roman" w:hAnsi="Times New Roman" w:cs="Times New Roman"/>
          <w:bCs/>
          <w:iCs/>
          <w:sz w:val="24"/>
          <w:szCs w:val="24"/>
        </w:rPr>
        <w:t xml:space="preserve"> </w:t>
      </w:r>
      <w:r w:rsidR="00820FBD" w:rsidRPr="00630539">
        <w:rPr>
          <w:rFonts w:ascii="Times New Roman" w:hAnsi="Times New Roman" w:cs="Times New Roman"/>
          <w:bCs/>
          <w:iCs/>
          <w:sz w:val="24"/>
          <w:szCs w:val="24"/>
        </w:rPr>
        <w:t xml:space="preserve">síce je medzinárodnou zmluvou, ale na jej základe Spoločenstvo </w:t>
      </w:r>
      <w:r w:rsidR="006D7260" w:rsidRPr="00630539">
        <w:rPr>
          <w:rFonts w:ascii="Times New Roman" w:hAnsi="Times New Roman" w:cs="Times New Roman"/>
          <w:bCs/>
          <w:iCs/>
          <w:sz w:val="24"/>
          <w:szCs w:val="24"/>
        </w:rPr>
        <w:t xml:space="preserve">(právny predchodca EÚ) </w:t>
      </w:r>
      <w:r w:rsidR="00820FBD" w:rsidRPr="00630539">
        <w:rPr>
          <w:rFonts w:ascii="Times New Roman" w:hAnsi="Times New Roman" w:cs="Times New Roman"/>
          <w:bCs/>
          <w:iCs/>
          <w:sz w:val="24"/>
          <w:szCs w:val="24"/>
        </w:rPr>
        <w:t xml:space="preserve">vytvára nový právny poriadok medzinárodného práva, v prospech ktorého štáty obmedzili, hoci vo vymedzených oblastiach, svoje zvrchované práva a ktorého subjektmi sú nielen členské </w:t>
      </w:r>
      <w:r w:rsidR="00D0306F">
        <w:rPr>
          <w:rFonts w:ascii="Times New Roman" w:hAnsi="Times New Roman" w:cs="Times New Roman"/>
          <w:bCs/>
          <w:iCs/>
          <w:sz w:val="24"/>
          <w:szCs w:val="24"/>
        </w:rPr>
        <w:t>štáty, ale rovnako aj ich štátni</w:t>
      </w:r>
      <w:r w:rsidR="00820FBD" w:rsidRPr="00630539">
        <w:rPr>
          <w:rFonts w:ascii="Times New Roman" w:hAnsi="Times New Roman" w:cs="Times New Roman"/>
          <w:bCs/>
          <w:iCs/>
          <w:sz w:val="24"/>
          <w:szCs w:val="24"/>
        </w:rPr>
        <w:t xml:space="preserve"> príslušníci.</w:t>
      </w:r>
    </w:p>
    <w:p w:rsidR="00820FBD" w:rsidRPr="00630539" w:rsidRDefault="006D7260" w:rsidP="00630539">
      <w:pPr>
        <w:spacing w:line="240" w:lineRule="auto"/>
        <w:ind w:firstLine="708"/>
        <w:jc w:val="both"/>
        <w:rPr>
          <w:rFonts w:ascii="Times New Roman" w:hAnsi="Times New Roman" w:cs="Times New Roman"/>
          <w:bCs/>
          <w:iCs/>
          <w:sz w:val="24"/>
          <w:szCs w:val="24"/>
        </w:rPr>
      </w:pPr>
      <w:r w:rsidRPr="00630539">
        <w:rPr>
          <w:rFonts w:ascii="Times New Roman" w:hAnsi="Times New Roman" w:cs="Times New Roman"/>
          <w:bCs/>
          <w:iCs/>
          <w:sz w:val="24"/>
          <w:szCs w:val="24"/>
        </w:rPr>
        <w:t>V</w:t>
      </w:r>
      <w:r w:rsidR="00820FBD" w:rsidRPr="00630539">
        <w:rPr>
          <w:rFonts w:ascii="Times New Roman" w:hAnsi="Times New Roman" w:cs="Times New Roman"/>
          <w:bCs/>
          <w:iCs/>
          <w:sz w:val="24"/>
          <w:szCs w:val="24"/>
        </w:rPr>
        <w:t xml:space="preserve"> rozsudku vo veci 6-64 </w:t>
      </w:r>
      <w:proofErr w:type="spellStart"/>
      <w:r w:rsidR="00820FBD" w:rsidRPr="00630539">
        <w:rPr>
          <w:rFonts w:ascii="Times New Roman" w:hAnsi="Times New Roman" w:cs="Times New Roman"/>
          <w:bCs/>
          <w:i/>
          <w:iCs/>
          <w:sz w:val="24"/>
          <w:szCs w:val="24"/>
        </w:rPr>
        <w:t>Costa</w:t>
      </w:r>
      <w:proofErr w:type="spellEnd"/>
      <w:r w:rsidR="00820FBD" w:rsidRPr="00630539">
        <w:rPr>
          <w:rFonts w:ascii="Times New Roman" w:hAnsi="Times New Roman" w:cs="Times New Roman"/>
          <w:bCs/>
          <w:i/>
          <w:iCs/>
          <w:sz w:val="24"/>
          <w:szCs w:val="24"/>
        </w:rPr>
        <w:t xml:space="preserve"> v. E.N.E.L.</w:t>
      </w:r>
      <w:r w:rsidR="00820FBD" w:rsidRPr="00630539">
        <w:rPr>
          <w:rFonts w:ascii="Times New Roman" w:hAnsi="Times New Roman" w:cs="Times New Roman"/>
          <w:bCs/>
          <w:iCs/>
          <w:sz w:val="24"/>
          <w:szCs w:val="24"/>
        </w:rPr>
        <w:t xml:space="preserve"> S</w:t>
      </w:r>
      <w:r w:rsidRPr="00630539">
        <w:rPr>
          <w:rFonts w:ascii="Times New Roman" w:hAnsi="Times New Roman" w:cs="Times New Roman"/>
          <w:bCs/>
          <w:iCs/>
          <w:sz w:val="24"/>
          <w:szCs w:val="24"/>
        </w:rPr>
        <w:t>údny dvor EÚ (</w:t>
      </w:r>
      <w:r w:rsidR="00820FBD" w:rsidRPr="00630539">
        <w:rPr>
          <w:rFonts w:ascii="Times New Roman" w:hAnsi="Times New Roman" w:cs="Times New Roman"/>
          <w:bCs/>
          <w:iCs/>
          <w:sz w:val="24"/>
          <w:szCs w:val="24"/>
        </w:rPr>
        <w:t>ES</w:t>
      </w:r>
      <w:r w:rsidRPr="00630539">
        <w:rPr>
          <w:rFonts w:ascii="Times New Roman" w:hAnsi="Times New Roman" w:cs="Times New Roman"/>
          <w:bCs/>
          <w:iCs/>
          <w:sz w:val="24"/>
          <w:szCs w:val="24"/>
        </w:rPr>
        <w:t>)</w:t>
      </w:r>
      <w:r w:rsidR="00820FBD" w:rsidRPr="00630539">
        <w:rPr>
          <w:rFonts w:ascii="Times New Roman" w:hAnsi="Times New Roman" w:cs="Times New Roman"/>
          <w:bCs/>
          <w:iCs/>
          <w:sz w:val="24"/>
          <w:szCs w:val="24"/>
        </w:rPr>
        <w:t xml:space="preserve"> dotvoril teóriu charakterizujúcu </w:t>
      </w:r>
      <w:r w:rsidRPr="00630539">
        <w:rPr>
          <w:rFonts w:ascii="Times New Roman" w:hAnsi="Times New Roman" w:cs="Times New Roman"/>
          <w:bCs/>
          <w:iCs/>
          <w:sz w:val="24"/>
          <w:szCs w:val="24"/>
        </w:rPr>
        <w:t xml:space="preserve">v tom čase komunitárne právo </w:t>
      </w:r>
      <w:r w:rsidR="00820FBD" w:rsidRPr="00630539">
        <w:rPr>
          <w:rFonts w:ascii="Times New Roman" w:hAnsi="Times New Roman" w:cs="Times New Roman"/>
          <w:bCs/>
          <w:iCs/>
          <w:sz w:val="24"/>
          <w:szCs w:val="24"/>
        </w:rPr>
        <w:t>ako osobitný, špecifický</w:t>
      </w:r>
      <w:r w:rsidRPr="00630539">
        <w:rPr>
          <w:rFonts w:ascii="Times New Roman" w:hAnsi="Times New Roman" w:cs="Times New Roman"/>
          <w:bCs/>
          <w:iCs/>
          <w:sz w:val="24"/>
          <w:szCs w:val="24"/>
        </w:rPr>
        <w:t>,</w:t>
      </w:r>
      <w:r w:rsidR="00820FBD" w:rsidRPr="00630539">
        <w:rPr>
          <w:rFonts w:ascii="Times New Roman" w:hAnsi="Times New Roman" w:cs="Times New Roman"/>
          <w:bCs/>
          <w:iCs/>
          <w:sz w:val="24"/>
          <w:szCs w:val="24"/>
        </w:rPr>
        <w:t xml:space="preserve"> právny systém odlišujúci sa od klasického medzinárodného práva, keď uviedol: „</w:t>
      </w:r>
      <w:r w:rsidR="00820FBD" w:rsidRPr="00630539">
        <w:rPr>
          <w:rFonts w:ascii="Times New Roman" w:hAnsi="Times New Roman" w:cs="Times New Roman"/>
          <w:bCs/>
          <w:i/>
          <w:iCs/>
          <w:sz w:val="24"/>
          <w:szCs w:val="24"/>
        </w:rPr>
        <w:t>Na rozdiel od bežných medzinárodných zmlúv si ZEHS vytvorila svoj vlastný právny poriadok, ktorý sa od platnosti tejto zmluvy stal integrálnou súčasťou právnych poriadkov členských štátov a je záväzný pre ich súdy.</w:t>
      </w:r>
      <w:r w:rsidR="00820FBD" w:rsidRPr="00630539">
        <w:rPr>
          <w:rFonts w:ascii="Times New Roman" w:hAnsi="Times New Roman" w:cs="Times New Roman"/>
          <w:bCs/>
          <w:iCs/>
          <w:sz w:val="24"/>
          <w:szCs w:val="24"/>
        </w:rPr>
        <w:t xml:space="preserve">“ </w:t>
      </w:r>
    </w:p>
    <w:p w:rsidR="00820FBD" w:rsidRPr="008B5DD1" w:rsidRDefault="00820FBD" w:rsidP="0011608C">
      <w:pPr>
        <w:spacing w:line="240" w:lineRule="auto"/>
        <w:ind w:firstLine="708"/>
        <w:jc w:val="both"/>
        <w:rPr>
          <w:rFonts w:ascii="Times New Roman" w:hAnsi="Times New Roman" w:cs="Times New Roman"/>
          <w:b/>
          <w:bCs/>
          <w:i/>
          <w:iCs/>
          <w:sz w:val="24"/>
          <w:szCs w:val="24"/>
        </w:rPr>
      </w:pPr>
      <w:r w:rsidRPr="008B5DD1">
        <w:rPr>
          <w:rFonts w:ascii="Times New Roman" w:hAnsi="Times New Roman" w:cs="Times New Roman"/>
          <w:b/>
          <w:bCs/>
          <w:i/>
          <w:iCs/>
          <w:sz w:val="24"/>
          <w:szCs w:val="24"/>
        </w:rPr>
        <w:t xml:space="preserve">Špecifiká, ktoré odlišujú </w:t>
      </w:r>
      <w:r w:rsidR="00CB509C" w:rsidRPr="008B5DD1">
        <w:rPr>
          <w:rFonts w:ascii="Times New Roman" w:hAnsi="Times New Roman" w:cs="Times New Roman"/>
          <w:b/>
          <w:bCs/>
          <w:i/>
          <w:iCs/>
          <w:sz w:val="24"/>
          <w:szCs w:val="24"/>
        </w:rPr>
        <w:t xml:space="preserve">právo EÚ </w:t>
      </w:r>
      <w:r w:rsidRPr="008B5DD1">
        <w:rPr>
          <w:rFonts w:ascii="Times New Roman" w:hAnsi="Times New Roman" w:cs="Times New Roman"/>
          <w:b/>
          <w:bCs/>
          <w:i/>
          <w:iCs/>
          <w:sz w:val="24"/>
          <w:szCs w:val="24"/>
        </w:rPr>
        <w:t xml:space="preserve">od </w:t>
      </w:r>
      <w:r w:rsidR="00CB509C" w:rsidRPr="008B5DD1">
        <w:rPr>
          <w:rFonts w:ascii="Times New Roman" w:hAnsi="Times New Roman" w:cs="Times New Roman"/>
          <w:b/>
          <w:bCs/>
          <w:i/>
          <w:iCs/>
          <w:sz w:val="24"/>
          <w:szCs w:val="24"/>
        </w:rPr>
        <w:t>„</w:t>
      </w:r>
      <w:r w:rsidRPr="008B5DD1">
        <w:rPr>
          <w:rFonts w:ascii="Times New Roman" w:hAnsi="Times New Roman" w:cs="Times New Roman"/>
          <w:b/>
          <w:bCs/>
          <w:i/>
          <w:iCs/>
          <w:sz w:val="24"/>
          <w:szCs w:val="24"/>
        </w:rPr>
        <w:t>klasického</w:t>
      </w:r>
      <w:r w:rsidR="00CB509C" w:rsidRPr="008B5DD1">
        <w:rPr>
          <w:rFonts w:ascii="Times New Roman" w:hAnsi="Times New Roman" w:cs="Times New Roman"/>
          <w:b/>
          <w:bCs/>
          <w:i/>
          <w:iCs/>
          <w:sz w:val="24"/>
          <w:szCs w:val="24"/>
        </w:rPr>
        <w:t>“</w:t>
      </w:r>
      <w:r w:rsidRPr="008B5DD1">
        <w:rPr>
          <w:rFonts w:ascii="Times New Roman" w:hAnsi="Times New Roman" w:cs="Times New Roman"/>
          <w:b/>
          <w:bCs/>
          <w:i/>
          <w:iCs/>
          <w:sz w:val="24"/>
          <w:szCs w:val="24"/>
        </w:rPr>
        <w:t xml:space="preserve"> medzinárodného </w:t>
      </w:r>
      <w:r w:rsidR="00CB509C" w:rsidRPr="008B5DD1">
        <w:rPr>
          <w:rFonts w:ascii="Times New Roman" w:hAnsi="Times New Roman" w:cs="Times New Roman"/>
          <w:b/>
          <w:bCs/>
          <w:i/>
          <w:iCs/>
          <w:sz w:val="24"/>
          <w:szCs w:val="24"/>
        </w:rPr>
        <w:t>verejného práva a</w:t>
      </w:r>
      <w:r w:rsidRPr="008B5DD1">
        <w:rPr>
          <w:rFonts w:ascii="Times New Roman" w:hAnsi="Times New Roman" w:cs="Times New Roman"/>
          <w:b/>
          <w:bCs/>
          <w:i/>
          <w:iCs/>
          <w:sz w:val="24"/>
          <w:szCs w:val="24"/>
        </w:rPr>
        <w:t xml:space="preserve"> vnútroštátneho práva:</w:t>
      </w:r>
    </w:p>
    <w:p w:rsidR="00820FBD" w:rsidRPr="00630539" w:rsidRDefault="00CB509C" w:rsidP="00630539">
      <w:pPr>
        <w:spacing w:line="240" w:lineRule="auto"/>
        <w:jc w:val="both"/>
        <w:rPr>
          <w:rFonts w:ascii="Times New Roman" w:hAnsi="Times New Roman" w:cs="Times New Roman"/>
          <w:bCs/>
          <w:iCs/>
          <w:sz w:val="24"/>
          <w:szCs w:val="24"/>
        </w:rPr>
      </w:pPr>
      <w:r w:rsidRPr="00630539">
        <w:rPr>
          <w:rFonts w:ascii="Times New Roman" w:hAnsi="Times New Roman" w:cs="Times New Roman"/>
          <w:bCs/>
          <w:iCs/>
          <w:sz w:val="24"/>
          <w:szCs w:val="24"/>
        </w:rPr>
        <w:t>-Právo EÚ</w:t>
      </w:r>
      <w:r w:rsidR="00820FBD" w:rsidRPr="00630539">
        <w:rPr>
          <w:rFonts w:ascii="Times New Roman" w:hAnsi="Times New Roman" w:cs="Times New Roman"/>
          <w:bCs/>
          <w:iCs/>
          <w:sz w:val="24"/>
          <w:szCs w:val="24"/>
        </w:rPr>
        <w:t xml:space="preserve"> </w:t>
      </w:r>
      <w:r w:rsidRPr="00630539">
        <w:rPr>
          <w:rFonts w:ascii="Times New Roman" w:hAnsi="Times New Roman" w:cs="Times New Roman"/>
          <w:bCs/>
          <w:iCs/>
          <w:sz w:val="24"/>
          <w:szCs w:val="24"/>
        </w:rPr>
        <w:t xml:space="preserve">(sekundárne právo Únie) </w:t>
      </w:r>
      <w:r w:rsidR="00820FBD" w:rsidRPr="00630539">
        <w:rPr>
          <w:rFonts w:ascii="Times New Roman" w:hAnsi="Times New Roman" w:cs="Times New Roman"/>
          <w:bCs/>
          <w:iCs/>
          <w:sz w:val="24"/>
          <w:szCs w:val="24"/>
        </w:rPr>
        <w:t>je tvorené špecifickým osobitným proce</w:t>
      </w:r>
      <w:r w:rsidRPr="00630539">
        <w:rPr>
          <w:rFonts w:ascii="Times New Roman" w:hAnsi="Times New Roman" w:cs="Times New Roman"/>
          <w:bCs/>
          <w:iCs/>
          <w:sz w:val="24"/>
          <w:szCs w:val="24"/>
        </w:rPr>
        <w:t>som odlišným od procesu tvorby medzinárodného verejného práva ale</w:t>
      </w:r>
      <w:r w:rsidR="00820FBD" w:rsidRPr="00630539">
        <w:rPr>
          <w:rFonts w:ascii="Times New Roman" w:hAnsi="Times New Roman" w:cs="Times New Roman"/>
          <w:bCs/>
          <w:iCs/>
          <w:sz w:val="24"/>
          <w:szCs w:val="24"/>
        </w:rPr>
        <w:t xml:space="preserve">bo </w:t>
      </w:r>
      <w:r w:rsidRPr="00630539">
        <w:rPr>
          <w:rFonts w:ascii="Times New Roman" w:hAnsi="Times New Roman" w:cs="Times New Roman"/>
          <w:bCs/>
          <w:iCs/>
          <w:sz w:val="24"/>
          <w:szCs w:val="24"/>
        </w:rPr>
        <w:t>vnútroštátneho práva</w:t>
      </w:r>
      <w:r w:rsidR="00820FBD" w:rsidRPr="00630539">
        <w:rPr>
          <w:rFonts w:ascii="Times New Roman" w:hAnsi="Times New Roman" w:cs="Times New Roman"/>
          <w:bCs/>
          <w:iCs/>
          <w:sz w:val="24"/>
          <w:szCs w:val="24"/>
        </w:rPr>
        <w:t xml:space="preserve">. Na procese tvorby </w:t>
      </w:r>
      <w:r w:rsidR="00D0306F">
        <w:rPr>
          <w:rFonts w:ascii="Times New Roman" w:hAnsi="Times New Roman" w:cs="Times New Roman"/>
          <w:bCs/>
          <w:iCs/>
          <w:sz w:val="24"/>
          <w:szCs w:val="24"/>
        </w:rPr>
        <w:t xml:space="preserve">sekundárneho </w:t>
      </w:r>
      <w:r w:rsidRPr="00630539">
        <w:rPr>
          <w:rFonts w:ascii="Times New Roman" w:hAnsi="Times New Roman" w:cs="Times New Roman"/>
          <w:bCs/>
          <w:iCs/>
          <w:sz w:val="24"/>
          <w:szCs w:val="24"/>
        </w:rPr>
        <w:t>únijného práva</w:t>
      </w:r>
      <w:r w:rsidR="00820FBD" w:rsidRPr="00630539">
        <w:rPr>
          <w:rFonts w:ascii="Times New Roman" w:hAnsi="Times New Roman" w:cs="Times New Roman"/>
          <w:bCs/>
          <w:iCs/>
          <w:sz w:val="24"/>
          <w:szCs w:val="24"/>
        </w:rPr>
        <w:t xml:space="preserve"> sa </w:t>
      </w:r>
      <w:r w:rsidRPr="00630539">
        <w:rPr>
          <w:rFonts w:ascii="Times New Roman" w:hAnsi="Times New Roman" w:cs="Times New Roman"/>
          <w:bCs/>
          <w:iCs/>
          <w:sz w:val="24"/>
          <w:szCs w:val="24"/>
        </w:rPr>
        <w:t xml:space="preserve">podieľajú </w:t>
      </w:r>
      <w:r w:rsidR="00820FBD" w:rsidRPr="00630539">
        <w:rPr>
          <w:rFonts w:ascii="Times New Roman" w:hAnsi="Times New Roman" w:cs="Times New Roman"/>
          <w:bCs/>
          <w:iCs/>
          <w:sz w:val="24"/>
          <w:szCs w:val="24"/>
        </w:rPr>
        <w:t>in</w:t>
      </w:r>
      <w:r w:rsidRPr="00630539">
        <w:rPr>
          <w:rFonts w:ascii="Times New Roman" w:hAnsi="Times New Roman" w:cs="Times New Roman"/>
          <w:bCs/>
          <w:iCs/>
          <w:sz w:val="24"/>
          <w:szCs w:val="24"/>
        </w:rPr>
        <w:t>štitúcie EÚ – vlastné orgány EÚ, na ktoré členské štáty preniesli, aj keď len vo vymedzených oblastiach, svoje zvrchované právomoci</w:t>
      </w:r>
      <w:r w:rsidR="00820FBD" w:rsidRPr="00630539">
        <w:rPr>
          <w:rFonts w:ascii="Times New Roman" w:hAnsi="Times New Roman" w:cs="Times New Roman"/>
          <w:bCs/>
          <w:iCs/>
          <w:sz w:val="24"/>
          <w:szCs w:val="24"/>
        </w:rPr>
        <w:t xml:space="preserve">  </w:t>
      </w:r>
    </w:p>
    <w:p w:rsidR="00820FBD" w:rsidRPr="00630539" w:rsidRDefault="00820FBD" w:rsidP="00630539">
      <w:pPr>
        <w:spacing w:line="240" w:lineRule="auto"/>
        <w:jc w:val="both"/>
        <w:rPr>
          <w:rFonts w:ascii="Times New Roman" w:hAnsi="Times New Roman" w:cs="Times New Roman"/>
          <w:bCs/>
          <w:iCs/>
          <w:sz w:val="24"/>
          <w:szCs w:val="24"/>
        </w:rPr>
      </w:pPr>
      <w:r w:rsidRPr="00630539">
        <w:rPr>
          <w:rFonts w:ascii="Times New Roman" w:hAnsi="Times New Roman" w:cs="Times New Roman"/>
          <w:bCs/>
          <w:iCs/>
          <w:sz w:val="24"/>
          <w:szCs w:val="24"/>
        </w:rPr>
        <w:lastRenderedPageBreak/>
        <w:t>-</w:t>
      </w:r>
      <w:r w:rsidR="00CB509C" w:rsidRPr="00630539">
        <w:rPr>
          <w:rFonts w:ascii="Times New Roman" w:hAnsi="Times New Roman" w:cs="Times New Roman"/>
          <w:bCs/>
          <w:iCs/>
          <w:sz w:val="24"/>
          <w:szCs w:val="24"/>
        </w:rPr>
        <w:t xml:space="preserve"> Právo EÚ</w:t>
      </w:r>
      <w:r w:rsidRPr="00630539">
        <w:rPr>
          <w:rFonts w:ascii="Times New Roman" w:hAnsi="Times New Roman" w:cs="Times New Roman"/>
          <w:bCs/>
          <w:iCs/>
          <w:sz w:val="24"/>
          <w:szCs w:val="24"/>
        </w:rPr>
        <w:t xml:space="preserve"> je vyjadrené vo špecifických p</w:t>
      </w:r>
      <w:r w:rsidR="00CB509C" w:rsidRPr="00630539">
        <w:rPr>
          <w:rFonts w:ascii="Times New Roman" w:hAnsi="Times New Roman" w:cs="Times New Roman"/>
          <w:bCs/>
          <w:iCs/>
          <w:sz w:val="24"/>
          <w:szCs w:val="24"/>
        </w:rPr>
        <w:t>rameňoch odlišných od prameňov medzinárodného verejného práva</w:t>
      </w:r>
      <w:r w:rsidRPr="00630539">
        <w:rPr>
          <w:rFonts w:ascii="Times New Roman" w:hAnsi="Times New Roman" w:cs="Times New Roman"/>
          <w:bCs/>
          <w:iCs/>
          <w:sz w:val="24"/>
          <w:szCs w:val="24"/>
        </w:rPr>
        <w:t xml:space="preserve"> a</w:t>
      </w:r>
      <w:r w:rsidR="00CB509C" w:rsidRPr="00630539">
        <w:rPr>
          <w:rFonts w:ascii="Times New Roman" w:hAnsi="Times New Roman" w:cs="Times New Roman"/>
          <w:bCs/>
          <w:iCs/>
          <w:sz w:val="24"/>
          <w:szCs w:val="24"/>
        </w:rPr>
        <w:t> vnútroštátneho práva (napr. smernica</w:t>
      </w:r>
      <w:r w:rsidRPr="00630539">
        <w:rPr>
          <w:rFonts w:ascii="Times New Roman" w:hAnsi="Times New Roman" w:cs="Times New Roman"/>
          <w:bCs/>
          <w:iCs/>
          <w:sz w:val="24"/>
          <w:szCs w:val="24"/>
        </w:rPr>
        <w:t xml:space="preserve"> </w:t>
      </w:r>
      <w:r w:rsidR="00CB509C" w:rsidRPr="00630539">
        <w:rPr>
          <w:rFonts w:ascii="Times New Roman" w:hAnsi="Times New Roman" w:cs="Times New Roman"/>
          <w:bCs/>
          <w:iCs/>
          <w:sz w:val="24"/>
          <w:szCs w:val="24"/>
        </w:rPr>
        <w:t xml:space="preserve">- tento prameň práva nepozná ani medzinárodné verejné právo </w:t>
      </w:r>
      <w:r w:rsidRPr="00630539">
        <w:rPr>
          <w:rFonts w:ascii="Times New Roman" w:hAnsi="Times New Roman" w:cs="Times New Roman"/>
          <w:bCs/>
          <w:iCs/>
          <w:sz w:val="24"/>
          <w:szCs w:val="24"/>
        </w:rPr>
        <w:t xml:space="preserve">ani </w:t>
      </w:r>
      <w:r w:rsidR="00CB509C" w:rsidRPr="00630539">
        <w:rPr>
          <w:rFonts w:ascii="Times New Roman" w:hAnsi="Times New Roman" w:cs="Times New Roman"/>
          <w:bCs/>
          <w:iCs/>
          <w:sz w:val="24"/>
          <w:szCs w:val="24"/>
        </w:rPr>
        <w:t>vnútroštátne právo</w:t>
      </w:r>
      <w:r w:rsidRPr="00630539">
        <w:rPr>
          <w:rFonts w:ascii="Times New Roman" w:hAnsi="Times New Roman" w:cs="Times New Roman"/>
          <w:bCs/>
          <w:iCs/>
          <w:sz w:val="24"/>
          <w:szCs w:val="24"/>
        </w:rPr>
        <w:t>)</w:t>
      </w:r>
    </w:p>
    <w:p w:rsidR="00820FBD" w:rsidRPr="00630539" w:rsidRDefault="00820FBD" w:rsidP="00630539">
      <w:pPr>
        <w:spacing w:line="240" w:lineRule="auto"/>
        <w:jc w:val="both"/>
        <w:rPr>
          <w:rFonts w:ascii="Times New Roman" w:hAnsi="Times New Roman" w:cs="Times New Roman"/>
          <w:bCs/>
          <w:iCs/>
          <w:sz w:val="24"/>
          <w:szCs w:val="24"/>
        </w:rPr>
      </w:pPr>
      <w:r w:rsidRPr="00630539">
        <w:rPr>
          <w:rFonts w:ascii="Times New Roman" w:hAnsi="Times New Roman" w:cs="Times New Roman"/>
          <w:bCs/>
          <w:iCs/>
          <w:sz w:val="24"/>
          <w:szCs w:val="24"/>
        </w:rPr>
        <w:t>-</w:t>
      </w:r>
      <w:r w:rsidR="00CB509C" w:rsidRPr="00630539">
        <w:rPr>
          <w:rFonts w:ascii="Times New Roman" w:hAnsi="Times New Roman" w:cs="Times New Roman"/>
          <w:bCs/>
          <w:iCs/>
          <w:sz w:val="24"/>
          <w:szCs w:val="24"/>
        </w:rPr>
        <w:t xml:space="preserve">Právo EÚ </w:t>
      </w:r>
      <w:r w:rsidRPr="00630539">
        <w:rPr>
          <w:rFonts w:ascii="Times New Roman" w:hAnsi="Times New Roman" w:cs="Times New Roman"/>
          <w:bCs/>
          <w:iCs/>
          <w:sz w:val="24"/>
          <w:szCs w:val="24"/>
        </w:rPr>
        <w:t xml:space="preserve">má svoj vlastný pojmový aparát (pojmy, ktoré používa </w:t>
      </w:r>
      <w:proofErr w:type="spellStart"/>
      <w:r w:rsidR="00CB509C" w:rsidRPr="00630539">
        <w:rPr>
          <w:rFonts w:ascii="Times New Roman" w:hAnsi="Times New Roman" w:cs="Times New Roman"/>
          <w:bCs/>
          <w:iCs/>
          <w:sz w:val="24"/>
          <w:szCs w:val="24"/>
        </w:rPr>
        <w:t>únijné</w:t>
      </w:r>
      <w:proofErr w:type="spellEnd"/>
      <w:r w:rsidR="00CB509C" w:rsidRPr="00630539">
        <w:rPr>
          <w:rFonts w:ascii="Times New Roman" w:hAnsi="Times New Roman" w:cs="Times New Roman"/>
          <w:bCs/>
          <w:iCs/>
          <w:sz w:val="24"/>
          <w:szCs w:val="24"/>
        </w:rPr>
        <w:t xml:space="preserve"> právo </w:t>
      </w:r>
      <w:r w:rsidRPr="00630539">
        <w:rPr>
          <w:rFonts w:ascii="Times New Roman" w:hAnsi="Times New Roman" w:cs="Times New Roman"/>
          <w:bCs/>
          <w:iCs/>
          <w:sz w:val="24"/>
          <w:szCs w:val="24"/>
        </w:rPr>
        <w:t xml:space="preserve">majú svoj vlastný </w:t>
      </w:r>
      <w:r w:rsidR="00CB509C" w:rsidRPr="00630539">
        <w:rPr>
          <w:rFonts w:ascii="Times New Roman" w:hAnsi="Times New Roman" w:cs="Times New Roman"/>
          <w:bCs/>
          <w:iCs/>
          <w:sz w:val="24"/>
          <w:szCs w:val="24"/>
        </w:rPr>
        <w:t xml:space="preserve">únijný </w:t>
      </w:r>
      <w:r w:rsidRPr="00630539">
        <w:rPr>
          <w:rFonts w:ascii="Times New Roman" w:hAnsi="Times New Roman" w:cs="Times New Roman"/>
          <w:bCs/>
          <w:iCs/>
          <w:sz w:val="24"/>
          <w:szCs w:val="24"/>
        </w:rPr>
        <w:t xml:space="preserve">obsah, ktorý sa môže líšiť od obsahu tohto pojmu používaného vo </w:t>
      </w:r>
      <w:r w:rsidR="00CB509C" w:rsidRPr="00630539">
        <w:rPr>
          <w:rFonts w:ascii="Times New Roman" w:hAnsi="Times New Roman" w:cs="Times New Roman"/>
          <w:bCs/>
          <w:iCs/>
          <w:sz w:val="24"/>
          <w:szCs w:val="24"/>
        </w:rPr>
        <w:t xml:space="preserve">vnútroštátnom práve </w:t>
      </w:r>
      <w:r w:rsidRPr="00630539">
        <w:rPr>
          <w:rFonts w:ascii="Times New Roman" w:hAnsi="Times New Roman" w:cs="Times New Roman"/>
          <w:bCs/>
          <w:iCs/>
          <w:sz w:val="24"/>
          <w:szCs w:val="24"/>
        </w:rPr>
        <w:t xml:space="preserve">alebo </w:t>
      </w:r>
      <w:r w:rsidR="00CB509C" w:rsidRPr="00630539">
        <w:rPr>
          <w:rFonts w:ascii="Times New Roman" w:hAnsi="Times New Roman" w:cs="Times New Roman"/>
          <w:bCs/>
          <w:iCs/>
          <w:sz w:val="24"/>
          <w:szCs w:val="24"/>
        </w:rPr>
        <w:t>medzinárodnom verejnom práve</w:t>
      </w:r>
      <w:r w:rsidRPr="00630539">
        <w:rPr>
          <w:rFonts w:ascii="Times New Roman" w:hAnsi="Times New Roman" w:cs="Times New Roman"/>
          <w:bCs/>
          <w:iCs/>
          <w:sz w:val="24"/>
          <w:szCs w:val="24"/>
        </w:rPr>
        <w:t xml:space="preserve">. Pojmy </w:t>
      </w:r>
      <w:r w:rsidR="00CB509C" w:rsidRPr="00630539">
        <w:rPr>
          <w:rFonts w:ascii="Times New Roman" w:hAnsi="Times New Roman" w:cs="Times New Roman"/>
          <w:bCs/>
          <w:iCs/>
          <w:sz w:val="24"/>
          <w:szCs w:val="24"/>
        </w:rPr>
        <w:t>únijného práva s</w:t>
      </w:r>
      <w:r w:rsidRPr="00630539">
        <w:rPr>
          <w:rFonts w:ascii="Times New Roman" w:hAnsi="Times New Roman" w:cs="Times New Roman"/>
          <w:bCs/>
          <w:iCs/>
          <w:sz w:val="24"/>
          <w:szCs w:val="24"/>
        </w:rPr>
        <w:t>ú vykladané autonómne</w:t>
      </w:r>
      <w:r w:rsidR="00CB509C" w:rsidRPr="00630539">
        <w:rPr>
          <w:rFonts w:ascii="Times New Roman" w:hAnsi="Times New Roman" w:cs="Times New Roman"/>
          <w:bCs/>
          <w:iCs/>
          <w:sz w:val="24"/>
          <w:szCs w:val="24"/>
        </w:rPr>
        <w:t xml:space="preserve"> Súdnym dvorom EÚ</w:t>
      </w:r>
      <w:r w:rsidRPr="00630539">
        <w:rPr>
          <w:rFonts w:ascii="Times New Roman" w:hAnsi="Times New Roman" w:cs="Times New Roman"/>
          <w:bCs/>
          <w:iCs/>
          <w:sz w:val="24"/>
          <w:szCs w:val="24"/>
        </w:rPr>
        <w:t xml:space="preserve">, nie vo svetle ich „národného“ alebo „medzinárodného“ významu. Je to dôsledkom požiadavky jednotnej </w:t>
      </w:r>
      <w:r w:rsidR="00CB509C" w:rsidRPr="00630539">
        <w:rPr>
          <w:rFonts w:ascii="Times New Roman" w:hAnsi="Times New Roman" w:cs="Times New Roman"/>
          <w:bCs/>
          <w:iCs/>
          <w:sz w:val="24"/>
          <w:szCs w:val="24"/>
        </w:rPr>
        <w:t xml:space="preserve">a efektívnej </w:t>
      </w:r>
      <w:r w:rsidRPr="00630539">
        <w:rPr>
          <w:rFonts w:ascii="Times New Roman" w:hAnsi="Times New Roman" w:cs="Times New Roman"/>
          <w:bCs/>
          <w:iCs/>
          <w:sz w:val="24"/>
          <w:szCs w:val="24"/>
        </w:rPr>
        <w:t xml:space="preserve">aplikácie </w:t>
      </w:r>
      <w:r w:rsidR="00CB509C" w:rsidRPr="00630539">
        <w:rPr>
          <w:rFonts w:ascii="Times New Roman" w:hAnsi="Times New Roman" w:cs="Times New Roman"/>
          <w:bCs/>
          <w:iCs/>
          <w:sz w:val="24"/>
          <w:szCs w:val="24"/>
        </w:rPr>
        <w:t xml:space="preserve">práva Únie </w:t>
      </w:r>
      <w:r w:rsidRPr="00630539">
        <w:rPr>
          <w:rFonts w:ascii="Times New Roman" w:hAnsi="Times New Roman" w:cs="Times New Roman"/>
          <w:bCs/>
          <w:iCs/>
          <w:sz w:val="24"/>
          <w:szCs w:val="24"/>
        </w:rPr>
        <w:t xml:space="preserve">vo všetkých členských štátoch. Niekedy však </w:t>
      </w:r>
      <w:proofErr w:type="spellStart"/>
      <w:r w:rsidR="00CB509C" w:rsidRPr="00630539">
        <w:rPr>
          <w:rFonts w:ascii="Times New Roman" w:hAnsi="Times New Roman" w:cs="Times New Roman"/>
          <w:bCs/>
          <w:iCs/>
          <w:sz w:val="24"/>
          <w:szCs w:val="24"/>
        </w:rPr>
        <w:t>únijné</w:t>
      </w:r>
      <w:proofErr w:type="spellEnd"/>
      <w:r w:rsidR="00CB509C" w:rsidRPr="00630539">
        <w:rPr>
          <w:rFonts w:ascii="Times New Roman" w:hAnsi="Times New Roman" w:cs="Times New Roman"/>
          <w:bCs/>
          <w:iCs/>
          <w:sz w:val="24"/>
          <w:szCs w:val="24"/>
        </w:rPr>
        <w:t xml:space="preserve"> právo </w:t>
      </w:r>
      <w:r w:rsidRPr="00630539">
        <w:rPr>
          <w:rFonts w:ascii="Times New Roman" w:hAnsi="Times New Roman" w:cs="Times New Roman"/>
          <w:bCs/>
          <w:iCs/>
          <w:sz w:val="24"/>
          <w:szCs w:val="24"/>
        </w:rPr>
        <w:t xml:space="preserve">obsahuje pri definícii určitého pojmu výslovný odkaz na </w:t>
      </w:r>
      <w:r w:rsidR="00CB509C" w:rsidRPr="00630539">
        <w:rPr>
          <w:rFonts w:ascii="Times New Roman" w:hAnsi="Times New Roman" w:cs="Times New Roman"/>
          <w:bCs/>
          <w:iCs/>
          <w:sz w:val="24"/>
          <w:szCs w:val="24"/>
        </w:rPr>
        <w:t>vnútroštátne právo.</w:t>
      </w:r>
    </w:p>
    <w:p w:rsidR="00820FBD" w:rsidRPr="00630539" w:rsidRDefault="00CB509C" w:rsidP="00630539">
      <w:pPr>
        <w:spacing w:line="240" w:lineRule="auto"/>
        <w:jc w:val="both"/>
        <w:rPr>
          <w:rFonts w:ascii="Times New Roman" w:hAnsi="Times New Roman" w:cs="Times New Roman"/>
          <w:bCs/>
          <w:iCs/>
          <w:sz w:val="24"/>
          <w:szCs w:val="24"/>
        </w:rPr>
      </w:pPr>
      <w:r w:rsidRPr="00630539">
        <w:rPr>
          <w:rFonts w:ascii="Times New Roman" w:hAnsi="Times New Roman" w:cs="Times New Roman"/>
          <w:bCs/>
          <w:iCs/>
          <w:sz w:val="24"/>
          <w:szCs w:val="24"/>
        </w:rPr>
        <w:t xml:space="preserve">-Únijné právo </w:t>
      </w:r>
      <w:r w:rsidR="00820FBD" w:rsidRPr="00630539">
        <w:rPr>
          <w:rFonts w:ascii="Times New Roman" w:hAnsi="Times New Roman" w:cs="Times New Roman"/>
          <w:bCs/>
          <w:iCs/>
          <w:sz w:val="24"/>
          <w:szCs w:val="24"/>
        </w:rPr>
        <w:t xml:space="preserve">má svoj vlastný osobitný systém zabezpečovania jeho vynútiteľnosti (prostredníctvom </w:t>
      </w:r>
      <w:proofErr w:type="spellStart"/>
      <w:r w:rsidR="00820FBD" w:rsidRPr="00630539">
        <w:rPr>
          <w:rFonts w:ascii="Times New Roman" w:hAnsi="Times New Roman" w:cs="Times New Roman"/>
          <w:bCs/>
          <w:iCs/>
          <w:sz w:val="24"/>
          <w:szCs w:val="24"/>
        </w:rPr>
        <w:t>zapojenosti</w:t>
      </w:r>
      <w:proofErr w:type="spellEnd"/>
      <w:r w:rsidR="00820FBD" w:rsidRPr="00630539">
        <w:rPr>
          <w:rFonts w:ascii="Times New Roman" w:hAnsi="Times New Roman" w:cs="Times New Roman"/>
          <w:bCs/>
          <w:iCs/>
          <w:sz w:val="24"/>
          <w:szCs w:val="24"/>
        </w:rPr>
        <w:t xml:space="preserve"> vnútroštátnych súdov členských štátov a predovšetkým vytvorením osobitného súdneho orgánu</w:t>
      </w:r>
      <w:r w:rsidRPr="00630539">
        <w:rPr>
          <w:rFonts w:ascii="Times New Roman" w:hAnsi="Times New Roman" w:cs="Times New Roman"/>
          <w:bCs/>
          <w:iCs/>
          <w:sz w:val="24"/>
          <w:szCs w:val="24"/>
        </w:rPr>
        <w:t>, Súdneho dvora EÚ,</w:t>
      </w:r>
      <w:r w:rsidR="00820FBD" w:rsidRPr="00630539">
        <w:rPr>
          <w:rFonts w:ascii="Times New Roman" w:hAnsi="Times New Roman" w:cs="Times New Roman"/>
          <w:bCs/>
          <w:iCs/>
          <w:sz w:val="24"/>
          <w:szCs w:val="24"/>
        </w:rPr>
        <w:t xml:space="preserve"> s právomocou podávať autoritatívny výklad </w:t>
      </w:r>
      <w:r w:rsidRPr="00630539">
        <w:rPr>
          <w:rFonts w:ascii="Times New Roman" w:hAnsi="Times New Roman" w:cs="Times New Roman"/>
          <w:bCs/>
          <w:iCs/>
          <w:sz w:val="24"/>
          <w:szCs w:val="24"/>
        </w:rPr>
        <w:t xml:space="preserve">únijného práva </w:t>
      </w:r>
      <w:r w:rsidR="00820FBD" w:rsidRPr="00630539">
        <w:rPr>
          <w:rFonts w:ascii="Times New Roman" w:hAnsi="Times New Roman" w:cs="Times New Roman"/>
          <w:bCs/>
          <w:iCs/>
          <w:sz w:val="24"/>
          <w:szCs w:val="24"/>
        </w:rPr>
        <w:t xml:space="preserve">a posudzovať jeho platnosť – </w:t>
      </w:r>
      <w:r w:rsidRPr="00630539">
        <w:rPr>
          <w:rFonts w:ascii="Times New Roman" w:hAnsi="Times New Roman" w:cs="Times New Roman"/>
          <w:bCs/>
          <w:iCs/>
          <w:sz w:val="24"/>
          <w:szCs w:val="24"/>
        </w:rPr>
        <w:t>právomoc posúdiť platnosť má Súdny dvor EÚ len vo vzťahu k sekundárnemu právu Únie</w:t>
      </w:r>
      <w:r w:rsidR="00820FBD" w:rsidRPr="00630539">
        <w:rPr>
          <w:rFonts w:ascii="Times New Roman" w:hAnsi="Times New Roman" w:cs="Times New Roman"/>
          <w:bCs/>
          <w:iCs/>
          <w:sz w:val="24"/>
          <w:szCs w:val="24"/>
        </w:rPr>
        <w:t>)</w:t>
      </w:r>
    </w:p>
    <w:p w:rsidR="00C560B9" w:rsidRPr="00630539" w:rsidRDefault="00E107C7" w:rsidP="00630539">
      <w:pPr>
        <w:spacing w:line="240" w:lineRule="auto"/>
        <w:ind w:firstLine="708"/>
        <w:jc w:val="both"/>
        <w:rPr>
          <w:rFonts w:ascii="Times New Roman" w:hAnsi="Times New Roman" w:cs="Times New Roman"/>
          <w:sz w:val="24"/>
          <w:szCs w:val="24"/>
        </w:rPr>
      </w:pPr>
      <w:r w:rsidRPr="00630539">
        <w:rPr>
          <w:rFonts w:ascii="Times New Roman" w:hAnsi="Times New Roman" w:cs="Times New Roman"/>
          <w:sz w:val="24"/>
          <w:szCs w:val="24"/>
        </w:rPr>
        <w:t>Vychádzajúc z osobitného charakteru práva Únie v porovnaní s bežnými medzinárodnými zmluvami Súdny dvor EÚ priznal právu Únie priame účinky vo vnútroštátnych právnych poriadkoch (</w:t>
      </w:r>
      <w:proofErr w:type="spellStart"/>
      <w:r w:rsidRPr="00630539">
        <w:rPr>
          <w:rFonts w:ascii="Times New Roman" w:hAnsi="Times New Roman" w:cs="Times New Roman"/>
          <w:bCs/>
          <w:i/>
          <w:iCs/>
          <w:sz w:val="24"/>
          <w:szCs w:val="24"/>
        </w:rPr>
        <w:t>van</w:t>
      </w:r>
      <w:proofErr w:type="spellEnd"/>
      <w:r w:rsidRPr="00630539">
        <w:rPr>
          <w:rFonts w:ascii="Times New Roman" w:hAnsi="Times New Roman" w:cs="Times New Roman"/>
          <w:bCs/>
          <w:i/>
          <w:iCs/>
          <w:sz w:val="24"/>
          <w:szCs w:val="24"/>
        </w:rPr>
        <w:t xml:space="preserve"> </w:t>
      </w:r>
      <w:proofErr w:type="spellStart"/>
      <w:r w:rsidRPr="00630539">
        <w:rPr>
          <w:rFonts w:ascii="Times New Roman" w:hAnsi="Times New Roman" w:cs="Times New Roman"/>
          <w:bCs/>
          <w:i/>
          <w:iCs/>
          <w:sz w:val="24"/>
          <w:szCs w:val="24"/>
        </w:rPr>
        <w:t>Gend</w:t>
      </w:r>
      <w:proofErr w:type="spellEnd"/>
      <w:r w:rsidRPr="00630539">
        <w:rPr>
          <w:rFonts w:ascii="Times New Roman" w:hAnsi="Times New Roman" w:cs="Times New Roman"/>
          <w:bCs/>
          <w:i/>
          <w:iCs/>
          <w:sz w:val="24"/>
          <w:szCs w:val="24"/>
        </w:rPr>
        <w:t xml:space="preserve"> and </w:t>
      </w:r>
      <w:proofErr w:type="spellStart"/>
      <w:r w:rsidRPr="00630539">
        <w:rPr>
          <w:rFonts w:ascii="Times New Roman" w:hAnsi="Times New Roman" w:cs="Times New Roman"/>
          <w:bCs/>
          <w:i/>
          <w:iCs/>
          <w:sz w:val="24"/>
          <w:szCs w:val="24"/>
        </w:rPr>
        <w:t>Loos</w:t>
      </w:r>
      <w:proofErr w:type="spellEnd"/>
      <w:r w:rsidRPr="00630539">
        <w:rPr>
          <w:rFonts w:ascii="Times New Roman" w:hAnsi="Times New Roman" w:cs="Times New Roman"/>
          <w:bCs/>
          <w:iCs/>
          <w:sz w:val="24"/>
          <w:szCs w:val="24"/>
        </w:rPr>
        <w:t xml:space="preserve">) </w:t>
      </w:r>
      <w:r w:rsidRPr="00630539">
        <w:rPr>
          <w:rFonts w:ascii="Times New Roman" w:hAnsi="Times New Roman" w:cs="Times New Roman"/>
          <w:sz w:val="24"/>
          <w:szCs w:val="24"/>
        </w:rPr>
        <w:t>a v prípade jeho kolízie s vnútroštátnym právom mu priznal aplikačnú prednosť (</w:t>
      </w:r>
      <w:proofErr w:type="spellStart"/>
      <w:r w:rsidRPr="00630539">
        <w:rPr>
          <w:rFonts w:ascii="Times New Roman" w:hAnsi="Times New Roman" w:cs="Times New Roman"/>
          <w:bCs/>
          <w:i/>
          <w:iCs/>
          <w:sz w:val="24"/>
          <w:szCs w:val="24"/>
        </w:rPr>
        <w:t>Costa</w:t>
      </w:r>
      <w:proofErr w:type="spellEnd"/>
      <w:r w:rsidRPr="00630539">
        <w:rPr>
          <w:rFonts w:ascii="Times New Roman" w:hAnsi="Times New Roman" w:cs="Times New Roman"/>
          <w:bCs/>
          <w:i/>
          <w:iCs/>
          <w:sz w:val="24"/>
          <w:szCs w:val="24"/>
        </w:rPr>
        <w:t xml:space="preserve"> v. E.N.E.L.</w:t>
      </w:r>
      <w:r w:rsidR="00C560B9" w:rsidRPr="00630539">
        <w:rPr>
          <w:rFonts w:ascii="Times New Roman" w:hAnsi="Times New Roman" w:cs="Times New Roman"/>
          <w:bCs/>
          <w:iCs/>
          <w:sz w:val="24"/>
          <w:szCs w:val="24"/>
        </w:rPr>
        <w:t xml:space="preserve">).  </w:t>
      </w:r>
      <w:r w:rsidR="00C560B9" w:rsidRPr="00630539">
        <w:rPr>
          <w:rFonts w:ascii="Times New Roman" w:hAnsi="Times New Roman" w:cs="Times New Roman"/>
          <w:sz w:val="24"/>
          <w:szCs w:val="24"/>
        </w:rPr>
        <w:t xml:space="preserve">Súdny dvor EÚ ustanovil, že status kolidujúceho vnútroštátneho práva nie je pre prednostnú aplikáciu práva Únie podstatný. Dokonca ani vnútroštátne právo ústavného charakteru nemôže zabrániť prednostnému </w:t>
      </w:r>
      <w:r w:rsidR="00630539" w:rsidRPr="00630539">
        <w:rPr>
          <w:rFonts w:ascii="Times New Roman" w:hAnsi="Times New Roman" w:cs="Times New Roman"/>
          <w:sz w:val="24"/>
          <w:szCs w:val="24"/>
        </w:rPr>
        <w:t>uplatneniu práva EÚ (</w:t>
      </w:r>
      <w:r w:rsidR="00630539">
        <w:rPr>
          <w:rFonts w:ascii="Times New Roman" w:hAnsi="Times New Roman" w:cs="Times New Roman"/>
          <w:sz w:val="24"/>
          <w:szCs w:val="24"/>
        </w:rPr>
        <w:t xml:space="preserve">rozsudok Súdneho dvora vo veci </w:t>
      </w:r>
      <w:r w:rsidR="00630539" w:rsidRPr="00630539">
        <w:rPr>
          <w:rFonts w:ascii="Times New Roman" w:hAnsi="Times New Roman" w:cs="Times New Roman"/>
          <w:sz w:val="24"/>
          <w:szCs w:val="24"/>
        </w:rPr>
        <w:t>11/70</w:t>
      </w:r>
      <w:r w:rsidR="00630539">
        <w:rPr>
          <w:rFonts w:ascii="Times New Roman" w:hAnsi="Times New Roman" w:cs="Times New Roman"/>
          <w:sz w:val="24"/>
          <w:szCs w:val="24"/>
        </w:rPr>
        <w:t xml:space="preserve"> </w:t>
      </w:r>
      <w:proofErr w:type="spellStart"/>
      <w:r w:rsidR="00C560B9" w:rsidRPr="00630539">
        <w:rPr>
          <w:rFonts w:ascii="Times New Roman" w:hAnsi="Times New Roman" w:cs="Times New Roman"/>
          <w:i/>
          <w:sz w:val="24"/>
          <w:szCs w:val="24"/>
        </w:rPr>
        <w:t>Internationale</w:t>
      </w:r>
      <w:proofErr w:type="spellEnd"/>
      <w:r w:rsidR="00C560B9" w:rsidRPr="00630539">
        <w:rPr>
          <w:rFonts w:ascii="Times New Roman" w:hAnsi="Times New Roman" w:cs="Times New Roman"/>
          <w:i/>
          <w:sz w:val="24"/>
          <w:szCs w:val="24"/>
        </w:rPr>
        <w:t xml:space="preserve"> </w:t>
      </w:r>
      <w:proofErr w:type="spellStart"/>
      <w:r w:rsidR="00C560B9" w:rsidRPr="00630539">
        <w:rPr>
          <w:rFonts w:ascii="Times New Roman" w:hAnsi="Times New Roman" w:cs="Times New Roman"/>
          <w:i/>
          <w:sz w:val="24"/>
          <w:szCs w:val="24"/>
        </w:rPr>
        <w:t>Handelsgesellschaft</w:t>
      </w:r>
      <w:proofErr w:type="spellEnd"/>
      <w:r w:rsidR="00C560B9" w:rsidRPr="00630539">
        <w:rPr>
          <w:rFonts w:ascii="Times New Roman" w:hAnsi="Times New Roman" w:cs="Times New Roman"/>
          <w:sz w:val="24"/>
          <w:szCs w:val="24"/>
        </w:rPr>
        <w:t xml:space="preserve">). Súdny dvor priznal právu Únie absolútnu (bezpodmienečnú) prednosť pred kolidujúcim vnútroštátnym právom. Na dôsledky uplatnenia princípu prednosti práva EÚ Súdny dvor poukázal vo svojom rozhodnutí vo veci </w:t>
      </w:r>
      <w:proofErr w:type="spellStart"/>
      <w:r w:rsidR="00C560B9" w:rsidRPr="00630539">
        <w:rPr>
          <w:rFonts w:ascii="Times New Roman" w:hAnsi="Times New Roman" w:cs="Times New Roman"/>
          <w:i/>
          <w:sz w:val="24"/>
          <w:szCs w:val="24"/>
        </w:rPr>
        <w:t>Simmenthal</w:t>
      </w:r>
      <w:proofErr w:type="spellEnd"/>
      <w:r w:rsidR="00C560B9" w:rsidRPr="00630539">
        <w:rPr>
          <w:rFonts w:ascii="Times New Roman" w:hAnsi="Times New Roman" w:cs="Times New Roman"/>
          <w:i/>
          <w:sz w:val="24"/>
          <w:szCs w:val="24"/>
        </w:rPr>
        <w:t xml:space="preserve"> </w:t>
      </w:r>
      <w:r w:rsidR="00C560B9" w:rsidRPr="00630539">
        <w:rPr>
          <w:rFonts w:ascii="Times New Roman" w:hAnsi="Times New Roman" w:cs="Times New Roman"/>
          <w:sz w:val="24"/>
          <w:szCs w:val="24"/>
        </w:rPr>
        <w:t>(106/77)</w:t>
      </w:r>
      <w:r w:rsidR="00C560B9" w:rsidRPr="00630539">
        <w:rPr>
          <w:rFonts w:ascii="Times New Roman" w:hAnsi="Times New Roman" w:cs="Times New Roman"/>
          <w:i/>
          <w:sz w:val="24"/>
          <w:szCs w:val="24"/>
        </w:rPr>
        <w:t xml:space="preserve">. </w:t>
      </w:r>
      <w:r w:rsidR="00C560B9" w:rsidRPr="00630539">
        <w:rPr>
          <w:rFonts w:ascii="Times New Roman" w:hAnsi="Times New Roman" w:cs="Times New Roman"/>
          <w:sz w:val="24"/>
          <w:szCs w:val="24"/>
        </w:rPr>
        <w:t xml:space="preserve">Podľa Súdneho dvora </w:t>
      </w:r>
      <w:r w:rsidR="002C5988" w:rsidRPr="00630539">
        <w:rPr>
          <w:rFonts w:ascii="Times New Roman" w:hAnsi="Times New Roman" w:cs="Times New Roman"/>
          <w:sz w:val="24"/>
          <w:szCs w:val="24"/>
        </w:rPr>
        <w:t xml:space="preserve">EÚ (ES) </w:t>
      </w:r>
      <w:r w:rsidR="00C560B9" w:rsidRPr="00630539">
        <w:rPr>
          <w:rFonts w:ascii="Times New Roman" w:hAnsi="Times New Roman" w:cs="Times New Roman"/>
          <w:sz w:val="24"/>
          <w:szCs w:val="24"/>
        </w:rPr>
        <w:t>vnútroštátny súd, ktorý v rámci svojej právomoci aplikuje ustanovenia práva EÚ, je povinný zabezpečiť plný účinok únijných noriem a z vlastnej úradnej moci má neuplatniť každé vnútroštátne ustanovenie, a to bez ohľadu na to, či bolo prijaté skôr alebo neskôr ako únijný predpis, ktoré je v rozpore s právom EÚ a to bez toho, aby musel najprv žiadať alebo čakať na jeho zrušenie legislatívnou cestou alebo iným ústavným postupom</w:t>
      </w:r>
      <w:r w:rsidR="002C5988" w:rsidRPr="00630539">
        <w:rPr>
          <w:rFonts w:ascii="Times New Roman" w:hAnsi="Times New Roman" w:cs="Times New Roman"/>
          <w:sz w:val="24"/>
          <w:szCs w:val="24"/>
        </w:rPr>
        <w:t>.</w:t>
      </w:r>
    </w:p>
    <w:p w:rsidR="00E107C7" w:rsidRPr="00630539" w:rsidRDefault="00C560B9" w:rsidP="00630539">
      <w:pPr>
        <w:spacing w:line="240" w:lineRule="auto"/>
        <w:ind w:firstLine="708"/>
        <w:jc w:val="both"/>
        <w:rPr>
          <w:rFonts w:ascii="Times New Roman" w:hAnsi="Times New Roman" w:cs="Times New Roman"/>
          <w:bCs/>
          <w:iCs/>
          <w:sz w:val="24"/>
          <w:szCs w:val="24"/>
        </w:rPr>
      </w:pPr>
      <w:r w:rsidRPr="00630539">
        <w:rPr>
          <w:rFonts w:ascii="Times New Roman" w:hAnsi="Times New Roman" w:cs="Times New Roman"/>
          <w:sz w:val="24"/>
          <w:szCs w:val="24"/>
        </w:rPr>
        <w:t>Pre priznanie priameho účinku práva EÚ (ES) a jeho prednostnej aplikácie bola rozhodujúca r</w:t>
      </w:r>
      <w:r w:rsidR="00E107C7" w:rsidRPr="00630539">
        <w:rPr>
          <w:rFonts w:ascii="Times New Roman" w:hAnsi="Times New Roman" w:cs="Times New Roman"/>
          <w:sz w:val="24"/>
          <w:szCs w:val="24"/>
        </w:rPr>
        <w:t>étorika Súdneho dvora, že právo Únie (v tom čase Európskeho hospodárskeho spoločenstva) vytvára autonómny</w:t>
      </w:r>
      <w:r w:rsidRPr="00630539">
        <w:rPr>
          <w:rFonts w:ascii="Times New Roman" w:hAnsi="Times New Roman" w:cs="Times New Roman"/>
          <w:sz w:val="24"/>
          <w:szCs w:val="24"/>
        </w:rPr>
        <w:t xml:space="preserve"> právny poriadok</w:t>
      </w:r>
      <w:r w:rsidR="00E107C7" w:rsidRPr="00630539">
        <w:rPr>
          <w:rFonts w:ascii="Times New Roman" w:hAnsi="Times New Roman" w:cs="Times New Roman"/>
          <w:sz w:val="24"/>
          <w:szCs w:val="24"/>
        </w:rPr>
        <w:t>. Autonómia právneho poriadku EÚ s jeho osobitnými znakmi bola dôležitá s funkcionálnych dôvodov. Iba taký medzinárodnou zmluvou založený právny režim, ktorému je priznaná priama aplikovateľnosť a absolútna prednosť pred kolidujúcim ustanovením vnútroštátneho práva je schopný efektívne dosahovať ciele, pre ktoré bol zriadený. Bez nároku na priamu a prednostnú aplikáciu práva EÚ by došlo k ohrozeniu jeho jednotnej a efektívnej aplikácie.</w:t>
      </w:r>
    </w:p>
    <w:p w:rsidR="005B18BF" w:rsidRPr="00973D2E" w:rsidRDefault="005B18BF" w:rsidP="00630539">
      <w:pPr>
        <w:spacing w:line="240" w:lineRule="auto"/>
        <w:ind w:firstLine="708"/>
        <w:jc w:val="both"/>
        <w:rPr>
          <w:rFonts w:ascii="Times New Roman" w:hAnsi="Times New Roman" w:cs="Times New Roman"/>
          <w:sz w:val="24"/>
          <w:szCs w:val="24"/>
        </w:rPr>
      </w:pPr>
      <w:r w:rsidRPr="00630539">
        <w:rPr>
          <w:rFonts w:ascii="Times New Roman" w:hAnsi="Times New Roman" w:cs="Times New Roman"/>
          <w:sz w:val="24"/>
          <w:szCs w:val="24"/>
        </w:rPr>
        <w:t xml:space="preserve">Na osobitnom, </w:t>
      </w:r>
      <w:proofErr w:type="spellStart"/>
      <w:r w:rsidRPr="00630539">
        <w:rPr>
          <w:rFonts w:ascii="Times New Roman" w:hAnsi="Times New Roman" w:cs="Times New Roman"/>
          <w:i/>
          <w:sz w:val="24"/>
          <w:szCs w:val="24"/>
        </w:rPr>
        <w:t>sui</w:t>
      </w:r>
      <w:proofErr w:type="spellEnd"/>
      <w:r w:rsidRPr="00630539">
        <w:rPr>
          <w:rFonts w:ascii="Times New Roman" w:hAnsi="Times New Roman" w:cs="Times New Roman"/>
          <w:i/>
          <w:sz w:val="24"/>
          <w:szCs w:val="24"/>
        </w:rPr>
        <w:t xml:space="preserve"> </w:t>
      </w:r>
      <w:proofErr w:type="spellStart"/>
      <w:r w:rsidRPr="00630539">
        <w:rPr>
          <w:rFonts w:ascii="Times New Roman" w:hAnsi="Times New Roman" w:cs="Times New Roman"/>
          <w:i/>
          <w:sz w:val="24"/>
          <w:szCs w:val="24"/>
        </w:rPr>
        <w:t>generis</w:t>
      </w:r>
      <w:proofErr w:type="spellEnd"/>
      <w:r w:rsidRPr="00630539">
        <w:rPr>
          <w:rFonts w:ascii="Times New Roman" w:hAnsi="Times New Roman" w:cs="Times New Roman"/>
          <w:sz w:val="24"/>
          <w:szCs w:val="24"/>
        </w:rPr>
        <w:t>,</w:t>
      </w:r>
      <w:r w:rsidRPr="00630539">
        <w:rPr>
          <w:rFonts w:ascii="Times New Roman" w:hAnsi="Times New Roman" w:cs="Times New Roman"/>
          <w:i/>
          <w:sz w:val="24"/>
          <w:szCs w:val="24"/>
        </w:rPr>
        <w:t xml:space="preserve"> </w:t>
      </w:r>
      <w:r w:rsidRPr="00630539">
        <w:rPr>
          <w:rFonts w:ascii="Times New Roman" w:hAnsi="Times New Roman" w:cs="Times New Roman"/>
          <w:sz w:val="24"/>
          <w:szCs w:val="24"/>
        </w:rPr>
        <w:t xml:space="preserve">charaktere práva Únie Súdny dvor EÚ nepostavil len vymedzenie vzťahu práva EÚ (ES) k vnútroštátnemu právu, ale rovnako aj vymedzenie jeho vzťahu k právu medzinárodnému. </w:t>
      </w:r>
      <w:r w:rsidR="00BD6F56" w:rsidRPr="00630539">
        <w:rPr>
          <w:rFonts w:ascii="Times New Roman" w:hAnsi="Times New Roman" w:cs="Times New Roman"/>
          <w:sz w:val="24"/>
          <w:szCs w:val="24"/>
        </w:rPr>
        <w:t xml:space="preserve">V rozhodnutí vo veci </w:t>
      </w:r>
      <w:r w:rsidR="00BD6F56" w:rsidRPr="00630539">
        <w:rPr>
          <w:rFonts w:ascii="Times New Roman" w:hAnsi="Times New Roman" w:cs="Times New Roman"/>
          <w:i/>
          <w:sz w:val="24"/>
          <w:szCs w:val="24"/>
        </w:rPr>
        <w:t xml:space="preserve">Kadi a </w:t>
      </w:r>
      <w:proofErr w:type="spellStart"/>
      <w:r w:rsidR="00BD6F56" w:rsidRPr="00630539">
        <w:rPr>
          <w:rFonts w:ascii="Times New Roman" w:hAnsi="Times New Roman" w:cs="Times New Roman"/>
          <w:i/>
          <w:sz w:val="24"/>
          <w:szCs w:val="24"/>
        </w:rPr>
        <w:t>Al</w:t>
      </w:r>
      <w:proofErr w:type="spellEnd"/>
      <w:r w:rsidR="00BD6F56" w:rsidRPr="00630539">
        <w:rPr>
          <w:rFonts w:ascii="Times New Roman" w:hAnsi="Times New Roman" w:cs="Times New Roman"/>
          <w:i/>
          <w:sz w:val="24"/>
          <w:szCs w:val="24"/>
        </w:rPr>
        <w:t xml:space="preserve"> </w:t>
      </w:r>
      <w:proofErr w:type="spellStart"/>
      <w:r w:rsidR="00BD6F56" w:rsidRPr="00630539">
        <w:rPr>
          <w:rFonts w:ascii="Times New Roman" w:hAnsi="Times New Roman" w:cs="Times New Roman"/>
          <w:i/>
          <w:sz w:val="24"/>
          <w:szCs w:val="24"/>
        </w:rPr>
        <w:t>Barakaat</w:t>
      </w:r>
      <w:proofErr w:type="spellEnd"/>
      <w:r w:rsidR="00BD6F56" w:rsidRPr="00630539">
        <w:rPr>
          <w:rFonts w:ascii="Times New Roman" w:hAnsi="Times New Roman" w:cs="Times New Roman"/>
          <w:i/>
          <w:sz w:val="24"/>
          <w:szCs w:val="24"/>
        </w:rPr>
        <w:t xml:space="preserve"> proti Rade </w:t>
      </w:r>
      <w:r w:rsidRPr="00630539">
        <w:rPr>
          <w:rFonts w:ascii="Times New Roman" w:hAnsi="Times New Roman" w:cs="Times New Roman"/>
          <w:sz w:val="24"/>
          <w:szCs w:val="24"/>
        </w:rPr>
        <w:t>(rozsudok v spojených veciach C-402/05 P a C-415/05 P</w:t>
      </w:r>
      <w:r w:rsidR="00E41EC4">
        <w:rPr>
          <w:rFonts w:ascii="Times New Roman" w:hAnsi="Times New Roman" w:cs="Times New Roman"/>
          <w:sz w:val="24"/>
          <w:szCs w:val="24"/>
        </w:rPr>
        <w:t>)</w:t>
      </w:r>
      <w:r w:rsidRPr="00630539">
        <w:rPr>
          <w:rFonts w:ascii="Times New Roman" w:hAnsi="Times New Roman" w:cs="Times New Roman"/>
          <w:sz w:val="24"/>
          <w:szCs w:val="24"/>
        </w:rPr>
        <w:t xml:space="preserve"> </w:t>
      </w:r>
      <w:r w:rsidR="00BD6F56" w:rsidRPr="00630539">
        <w:rPr>
          <w:rFonts w:ascii="Times New Roman" w:hAnsi="Times New Roman" w:cs="Times New Roman"/>
          <w:sz w:val="24"/>
          <w:szCs w:val="24"/>
        </w:rPr>
        <w:t>Súdny dvor konštatoval, že „</w:t>
      </w:r>
      <w:r w:rsidR="00BD6F56" w:rsidRPr="00630539">
        <w:rPr>
          <w:rFonts w:ascii="Times New Roman" w:hAnsi="Times New Roman" w:cs="Times New Roman"/>
          <w:i/>
          <w:sz w:val="24"/>
          <w:szCs w:val="24"/>
        </w:rPr>
        <w:t>...medzinárodná dohoda nemôže zasahovať do systému právomoci stanoveného Zmluvami...</w:t>
      </w:r>
      <w:r w:rsidR="00BD6F56" w:rsidRPr="00630539">
        <w:rPr>
          <w:rFonts w:ascii="Times New Roman" w:hAnsi="Times New Roman" w:cs="Times New Roman"/>
          <w:sz w:val="24"/>
          <w:szCs w:val="24"/>
        </w:rPr>
        <w:t>“, ani „</w:t>
      </w:r>
      <w:r w:rsidR="00BD6F56" w:rsidRPr="00630539">
        <w:rPr>
          <w:rFonts w:ascii="Times New Roman" w:hAnsi="Times New Roman" w:cs="Times New Roman"/>
          <w:i/>
          <w:sz w:val="24"/>
          <w:szCs w:val="24"/>
        </w:rPr>
        <w:t>...do samostatnosti právneho systému Spoločenstva, ktorého dodržiavanie [zabezpečuje] Súdny dvor...</w:t>
      </w:r>
      <w:r w:rsidR="00BD6F56" w:rsidRPr="00630539">
        <w:rPr>
          <w:rFonts w:ascii="Times New Roman" w:hAnsi="Times New Roman" w:cs="Times New Roman"/>
          <w:sz w:val="24"/>
          <w:szCs w:val="24"/>
        </w:rPr>
        <w:t>“. Súdny dvor ďalej uvádza, že „</w:t>
      </w:r>
      <w:r w:rsidR="00BD6F56" w:rsidRPr="00630539">
        <w:rPr>
          <w:rFonts w:ascii="Times New Roman" w:hAnsi="Times New Roman" w:cs="Times New Roman"/>
          <w:i/>
          <w:sz w:val="24"/>
          <w:szCs w:val="24"/>
        </w:rPr>
        <w:t xml:space="preserve">preskúmanie platnosti akéhokoľvek aktu Spoločenstva Súdnym dvorom z pohľadu základných práv treba v právnom spoločenstve považovať za výraz ústavnej záruky vyplývajúcej zo Zmluvy ES ako </w:t>
      </w:r>
      <w:r w:rsidR="00BD6F56" w:rsidRPr="00630539">
        <w:rPr>
          <w:rFonts w:ascii="Times New Roman" w:hAnsi="Times New Roman" w:cs="Times New Roman"/>
          <w:i/>
          <w:sz w:val="24"/>
          <w:szCs w:val="24"/>
        </w:rPr>
        <w:lastRenderedPageBreak/>
        <w:t>autonómneho právneho poriadku, ktorý medzinárodná zmluva nemôže zasiahnuť</w:t>
      </w:r>
      <w:r w:rsidR="00BD6F56" w:rsidRPr="00630539">
        <w:rPr>
          <w:rFonts w:ascii="Times New Roman" w:hAnsi="Times New Roman" w:cs="Times New Roman"/>
          <w:sz w:val="24"/>
          <w:szCs w:val="24"/>
        </w:rPr>
        <w:t>“</w:t>
      </w:r>
      <w:r w:rsidRPr="00630539">
        <w:rPr>
          <w:rFonts w:ascii="Times New Roman" w:hAnsi="Times New Roman" w:cs="Times New Roman"/>
          <w:sz w:val="24"/>
          <w:szCs w:val="24"/>
        </w:rPr>
        <w:t xml:space="preserve"> (pozri body 282 a 316 rozsudku vo </w:t>
      </w:r>
      <w:r w:rsidRPr="00973D2E">
        <w:rPr>
          <w:rFonts w:ascii="Times New Roman" w:hAnsi="Times New Roman" w:cs="Times New Roman"/>
          <w:sz w:val="24"/>
          <w:szCs w:val="24"/>
        </w:rPr>
        <w:t xml:space="preserve">veci </w:t>
      </w:r>
      <w:r w:rsidRPr="00973D2E">
        <w:rPr>
          <w:rFonts w:ascii="Times New Roman" w:hAnsi="Times New Roman" w:cs="Times New Roman"/>
          <w:i/>
          <w:sz w:val="24"/>
          <w:szCs w:val="24"/>
        </w:rPr>
        <w:t xml:space="preserve">Kadi a </w:t>
      </w:r>
      <w:proofErr w:type="spellStart"/>
      <w:r w:rsidRPr="00973D2E">
        <w:rPr>
          <w:rFonts w:ascii="Times New Roman" w:hAnsi="Times New Roman" w:cs="Times New Roman"/>
          <w:i/>
          <w:sz w:val="24"/>
          <w:szCs w:val="24"/>
        </w:rPr>
        <w:t>Al</w:t>
      </w:r>
      <w:proofErr w:type="spellEnd"/>
      <w:r w:rsidRPr="00973D2E">
        <w:rPr>
          <w:rFonts w:ascii="Times New Roman" w:hAnsi="Times New Roman" w:cs="Times New Roman"/>
          <w:i/>
          <w:sz w:val="24"/>
          <w:szCs w:val="24"/>
        </w:rPr>
        <w:t xml:space="preserve"> </w:t>
      </w:r>
      <w:proofErr w:type="spellStart"/>
      <w:r w:rsidRPr="00973D2E">
        <w:rPr>
          <w:rFonts w:ascii="Times New Roman" w:hAnsi="Times New Roman" w:cs="Times New Roman"/>
          <w:i/>
          <w:sz w:val="24"/>
          <w:szCs w:val="24"/>
        </w:rPr>
        <w:t>Barakaat</w:t>
      </w:r>
      <w:proofErr w:type="spellEnd"/>
      <w:r w:rsidRPr="00973D2E">
        <w:rPr>
          <w:rFonts w:ascii="Times New Roman" w:hAnsi="Times New Roman" w:cs="Times New Roman"/>
          <w:i/>
          <w:sz w:val="24"/>
          <w:szCs w:val="24"/>
        </w:rPr>
        <w:t xml:space="preserve"> proti Rade</w:t>
      </w:r>
      <w:r w:rsidRPr="00973D2E">
        <w:rPr>
          <w:rFonts w:ascii="Times New Roman" w:hAnsi="Times New Roman" w:cs="Times New Roman"/>
          <w:sz w:val="24"/>
          <w:szCs w:val="24"/>
        </w:rPr>
        <w:t>).</w:t>
      </w:r>
    </w:p>
    <w:p w:rsidR="00ED27CF" w:rsidRPr="00973D2E" w:rsidRDefault="00973D2E" w:rsidP="00ED27CF">
      <w:pPr>
        <w:pStyle w:val="Odsekzoznamu"/>
        <w:ind w:left="0" w:firstLine="720"/>
        <w:jc w:val="both"/>
        <w:rPr>
          <w:rFonts w:ascii="Times New Roman" w:hAnsi="Times New Roman" w:cs="Times New Roman"/>
          <w:sz w:val="24"/>
          <w:szCs w:val="24"/>
        </w:rPr>
      </w:pPr>
      <w:r w:rsidRPr="00973D2E">
        <w:rPr>
          <w:rFonts w:ascii="Times New Roman" w:hAnsi="Times New Roman" w:cs="Times New Roman"/>
          <w:sz w:val="24"/>
          <w:szCs w:val="24"/>
        </w:rPr>
        <w:t>V </w:t>
      </w:r>
      <w:r w:rsidR="00ED27CF" w:rsidRPr="00973D2E">
        <w:rPr>
          <w:rFonts w:ascii="Times New Roman" w:hAnsi="Times New Roman" w:cs="Times New Roman"/>
          <w:sz w:val="24"/>
          <w:szCs w:val="24"/>
        </w:rPr>
        <w:t>stanovisk</w:t>
      </w:r>
      <w:r w:rsidRPr="00973D2E">
        <w:rPr>
          <w:rFonts w:ascii="Times New Roman" w:hAnsi="Times New Roman" w:cs="Times New Roman"/>
          <w:sz w:val="24"/>
          <w:szCs w:val="24"/>
        </w:rPr>
        <w:t xml:space="preserve">u </w:t>
      </w:r>
      <w:r w:rsidR="00ED27CF" w:rsidRPr="00973D2E">
        <w:rPr>
          <w:rFonts w:ascii="Times New Roman" w:hAnsi="Times New Roman" w:cs="Times New Roman"/>
          <w:sz w:val="24"/>
          <w:szCs w:val="24"/>
        </w:rPr>
        <w:t>2/13</w:t>
      </w:r>
      <w:r w:rsidRPr="00973D2E">
        <w:rPr>
          <w:rFonts w:ascii="Times New Roman" w:hAnsi="Times New Roman" w:cs="Times New Roman"/>
          <w:sz w:val="24"/>
          <w:szCs w:val="24"/>
        </w:rPr>
        <w:t xml:space="preserve"> Súdny dvor v bode </w:t>
      </w:r>
      <w:r w:rsidR="00ED27CF" w:rsidRPr="00973D2E">
        <w:rPr>
          <w:rFonts w:ascii="Times New Roman" w:hAnsi="Times New Roman" w:cs="Times New Roman"/>
          <w:sz w:val="24"/>
          <w:szCs w:val="24"/>
        </w:rPr>
        <w:t>170</w:t>
      </w:r>
      <w:r w:rsidRPr="00973D2E">
        <w:rPr>
          <w:rFonts w:ascii="Times New Roman" w:hAnsi="Times New Roman" w:cs="Times New Roman"/>
          <w:sz w:val="24"/>
          <w:szCs w:val="24"/>
        </w:rPr>
        <w:t xml:space="preserve"> uvádza: „</w:t>
      </w:r>
      <w:r w:rsidR="00ED27CF" w:rsidRPr="00973D2E">
        <w:rPr>
          <w:rFonts w:ascii="Times New Roman" w:hAnsi="Times New Roman" w:cs="Times New Roman"/>
          <w:i/>
          <w:sz w:val="24"/>
          <w:szCs w:val="24"/>
        </w:rPr>
        <w:t xml:space="preserve">Z autonómie, ktorú má právo Únie vo vzťahu k právu členských štátov, aj vo vzťahu k medzinárodnému právu, však nevyhnutne vyplýva, že výklad týchto základných práv </w:t>
      </w:r>
      <w:r>
        <w:rPr>
          <w:rFonts w:ascii="Times New Roman" w:hAnsi="Times New Roman" w:cs="Times New Roman"/>
          <w:sz w:val="24"/>
          <w:szCs w:val="24"/>
        </w:rPr>
        <w:t xml:space="preserve">(práv uznaných Chartou základných práv EÚ) </w:t>
      </w:r>
      <w:r w:rsidR="00ED27CF" w:rsidRPr="00973D2E">
        <w:rPr>
          <w:rFonts w:ascii="Times New Roman" w:hAnsi="Times New Roman" w:cs="Times New Roman"/>
          <w:i/>
          <w:sz w:val="24"/>
          <w:szCs w:val="24"/>
        </w:rPr>
        <w:t xml:space="preserve">sa musí zabezpečiť v rámci štruktúry a cieľov Únie (pozri v tomto zmysle rozsudky </w:t>
      </w:r>
      <w:proofErr w:type="spellStart"/>
      <w:r w:rsidR="00ED27CF" w:rsidRPr="00973D2E">
        <w:rPr>
          <w:rFonts w:ascii="Times New Roman" w:hAnsi="Times New Roman" w:cs="Times New Roman"/>
          <w:i/>
          <w:sz w:val="24"/>
          <w:szCs w:val="24"/>
        </w:rPr>
        <w:t>Internationale</w:t>
      </w:r>
      <w:proofErr w:type="spellEnd"/>
      <w:r w:rsidR="00ED27CF" w:rsidRPr="00973D2E">
        <w:rPr>
          <w:rFonts w:ascii="Times New Roman" w:hAnsi="Times New Roman" w:cs="Times New Roman"/>
          <w:i/>
          <w:sz w:val="24"/>
          <w:szCs w:val="24"/>
        </w:rPr>
        <w:t xml:space="preserve"> </w:t>
      </w:r>
      <w:proofErr w:type="spellStart"/>
      <w:r w:rsidR="00ED27CF" w:rsidRPr="00973D2E">
        <w:rPr>
          <w:rFonts w:ascii="Times New Roman" w:hAnsi="Times New Roman" w:cs="Times New Roman"/>
          <w:i/>
          <w:sz w:val="24"/>
          <w:szCs w:val="24"/>
        </w:rPr>
        <w:t>Handelsgesellschaft</w:t>
      </w:r>
      <w:proofErr w:type="spellEnd"/>
      <w:r w:rsidR="00ED27CF" w:rsidRPr="00973D2E">
        <w:rPr>
          <w:rFonts w:ascii="Times New Roman" w:hAnsi="Times New Roman" w:cs="Times New Roman"/>
          <w:i/>
          <w:sz w:val="24"/>
          <w:szCs w:val="24"/>
        </w:rPr>
        <w:t>, EU:C:1970:114, bod 4, ako aj Kadi a </w:t>
      </w:r>
      <w:proofErr w:type="spellStart"/>
      <w:r w:rsidR="00ED27CF" w:rsidRPr="00973D2E">
        <w:rPr>
          <w:rFonts w:ascii="Times New Roman" w:hAnsi="Times New Roman" w:cs="Times New Roman"/>
          <w:i/>
          <w:sz w:val="24"/>
          <w:szCs w:val="24"/>
        </w:rPr>
        <w:t>Al</w:t>
      </w:r>
      <w:proofErr w:type="spellEnd"/>
      <w:r w:rsidR="00ED27CF" w:rsidRPr="00973D2E">
        <w:rPr>
          <w:rFonts w:ascii="Times New Roman" w:hAnsi="Times New Roman" w:cs="Times New Roman"/>
          <w:i/>
          <w:sz w:val="24"/>
          <w:szCs w:val="24"/>
        </w:rPr>
        <w:t xml:space="preserve"> </w:t>
      </w:r>
      <w:proofErr w:type="spellStart"/>
      <w:r w:rsidR="00ED27CF" w:rsidRPr="00973D2E">
        <w:rPr>
          <w:rFonts w:ascii="Times New Roman" w:hAnsi="Times New Roman" w:cs="Times New Roman"/>
          <w:i/>
          <w:sz w:val="24"/>
          <w:szCs w:val="24"/>
        </w:rPr>
        <w:t>Barakaat</w:t>
      </w:r>
      <w:proofErr w:type="spellEnd"/>
      <w:r w:rsidR="00ED27CF" w:rsidRPr="00973D2E">
        <w:rPr>
          <w:rFonts w:ascii="Times New Roman" w:hAnsi="Times New Roman" w:cs="Times New Roman"/>
          <w:i/>
          <w:sz w:val="24"/>
          <w:szCs w:val="24"/>
        </w:rPr>
        <w:t xml:space="preserve"> </w:t>
      </w:r>
      <w:proofErr w:type="spellStart"/>
      <w:r w:rsidR="00ED27CF" w:rsidRPr="00973D2E">
        <w:rPr>
          <w:rFonts w:ascii="Times New Roman" w:hAnsi="Times New Roman" w:cs="Times New Roman"/>
          <w:i/>
          <w:sz w:val="24"/>
          <w:szCs w:val="24"/>
        </w:rPr>
        <w:t>International</w:t>
      </w:r>
      <w:proofErr w:type="spellEnd"/>
      <w:r w:rsidR="00ED27CF" w:rsidRPr="00973D2E">
        <w:rPr>
          <w:rFonts w:ascii="Times New Roman" w:hAnsi="Times New Roman" w:cs="Times New Roman"/>
          <w:i/>
          <w:sz w:val="24"/>
          <w:szCs w:val="24"/>
        </w:rPr>
        <w:t xml:space="preserve"> </w:t>
      </w:r>
      <w:proofErr w:type="spellStart"/>
      <w:r w:rsidR="00ED27CF" w:rsidRPr="00973D2E">
        <w:rPr>
          <w:rFonts w:ascii="Times New Roman" w:hAnsi="Times New Roman" w:cs="Times New Roman"/>
          <w:i/>
          <w:sz w:val="24"/>
          <w:szCs w:val="24"/>
        </w:rPr>
        <w:t>Foundation</w:t>
      </w:r>
      <w:proofErr w:type="spellEnd"/>
      <w:r w:rsidR="00ED27CF" w:rsidRPr="00973D2E">
        <w:rPr>
          <w:rFonts w:ascii="Times New Roman" w:hAnsi="Times New Roman" w:cs="Times New Roman"/>
          <w:i/>
          <w:sz w:val="24"/>
          <w:szCs w:val="24"/>
        </w:rPr>
        <w:t>/Rada a Komisia, EU:C:2008:461, body 281 až 285)</w:t>
      </w:r>
      <w:r w:rsidR="00ED27CF" w:rsidRPr="00973D2E">
        <w:rPr>
          <w:rFonts w:ascii="Times New Roman" w:hAnsi="Times New Roman" w:cs="Times New Roman"/>
          <w:sz w:val="24"/>
          <w:szCs w:val="24"/>
        </w:rPr>
        <w:t>.</w:t>
      </w:r>
    </w:p>
    <w:p w:rsidR="00AD670D" w:rsidRPr="00AD670D" w:rsidRDefault="00BD6F56" w:rsidP="00AD670D">
      <w:pPr>
        <w:ind w:firstLine="708"/>
        <w:jc w:val="both"/>
        <w:rPr>
          <w:rFonts w:ascii="Times New Roman" w:hAnsi="Times New Roman" w:cs="Times New Roman"/>
          <w:sz w:val="24"/>
          <w:szCs w:val="24"/>
        </w:rPr>
      </w:pPr>
      <w:r w:rsidRPr="00630539">
        <w:rPr>
          <w:rFonts w:ascii="Times New Roman" w:hAnsi="Times New Roman" w:cs="Times New Roman"/>
          <w:sz w:val="24"/>
          <w:szCs w:val="24"/>
        </w:rPr>
        <w:t xml:space="preserve">Vychádzajúc z judikatúry Súdneho dvora, právo Únie predstavuje autonómny </w:t>
      </w:r>
      <w:proofErr w:type="spellStart"/>
      <w:r w:rsidRPr="00630539">
        <w:rPr>
          <w:rFonts w:ascii="Times New Roman" w:hAnsi="Times New Roman" w:cs="Times New Roman"/>
          <w:i/>
          <w:sz w:val="24"/>
          <w:szCs w:val="24"/>
        </w:rPr>
        <w:t>sui</w:t>
      </w:r>
      <w:proofErr w:type="spellEnd"/>
      <w:r w:rsidRPr="00630539">
        <w:rPr>
          <w:rFonts w:ascii="Times New Roman" w:hAnsi="Times New Roman" w:cs="Times New Roman"/>
          <w:i/>
          <w:sz w:val="24"/>
          <w:szCs w:val="24"/>
        </w:rPr>
        <w:t xml:space="preserve"> </w:t>
      </w:r>
      <w:proofErr w:type="spellStart"/>
      <w:r w:rsidRPr="00630539">
        <w:rPr>
          <w:rFonts w:ascii="Times New Roman" w:hAnsi="Times New Roman" w:cs="Times New Roman"/>
          <w:i/>
          <w:sz w:val="24"/>
          <w:szCs w:val="24"/>
        </w:rPr>
        <w:t>generis</w:t>
      </w:r>
      <w:proofErr w:type="spellEnd"/>
      <w:r w:rsidR="007A31EF" w:rsidRPr="00630539">
        <w:rPr>
          <w:rFonts w:ascii="Times New Roman" w:hAnsi="Times New Roman" w:cs="Times New Roman"/>
          <w:sz w:val="24"/>
          <w:szCs w:val="24"/>
        </w:rPr>
        <w:t xml:space="preserve"> právny systém. </w:t>
      </w:r>
      <w:r w:rsidRPr="00630539">
        <w:rPr>
          <w:rFonts w:ascii="Times New Roman" w:hAnsi="Times New Roman" w:cs="Times New Roman"/>
          <w:sz w:val="24"/>
          <w:szCs w:val="24"/>
        </w:rPr>
        <w:t xml:space="preserve">Jedným z dôsledkom existencie právneho systému EÚ ako autonómneho systému je, že jeho vzťah k iným právnym systémom je determinovaný ním samotným. </w:t>
      </w:r>
      <w:r w:rsidR="007A31EF" w:rsidRPr="00630539">
        <w:rPr>
          <w:rFonts w:ascii="Times New Roman" w:hAnsi="Times New Roman" w:cs="Times New Roman"/>
          <w:sz w:val="24"/>
          <w:szCs w:val="24"/>
        </w:rPr>
        <w:t xml:space="preserve">Právo EÚ požaduje byť autonómnym, novým právnym poriadkom vytvárajúcim osobitný právny systém. Súdnym dvorom EÚ vytvárané doktríny </w:t>
      </w:r>
      <w:r w:rsidR="001216FD" w:rsidRPr="00630539">
        <w:rPr>
          <w:rFonts w:ascii="Times New Roman" w:hAnsi="Times New Roman" w:cs="Times New Roman"/>
          <w:sz w:val="24"/>
          <w:szCs w:val="24"/>
        </w:rPr>
        <w:t xml:space="preserve">priameho účinku práva EÚ (ES) a </w:t>
      </w:r>
      <w:r w:rsidR="007A31EF" w:rsidRPr="00630539">
        <w:rPr>
          <w:rFonts w:ascii="Times New Roman" w:hAnsi="Times New Roman" w:cs="Times New Roman"/>
          <w:sz w:val="24"/>
          <w:szCs w:val="24"/>
        </w:rPr>
        <w:t xml:space="preserve">jeho </w:t>
      </w:r>
      <w:r w:rsidR="007A31EF" w:rsidRPr="00AD670D">
        <w:rPr>
          <w:rFonts w:ascii="Times New Roman" w:hAnsi="Times New Roman" w:cs="Times New Roman"/>
          <w:sz w:val="24"/>
          <w:szCs w:val="24"/>
        </w:rPr>
        <w:t>prednostnej a</w:t>
      </w:r>
      <w:r w:rsidR="001216FD" w:rsidRPr="00AD670D">
        <w:rPr>
          <w:rFonts w:ascii="Times New Roman" w:hAnsi="Times New Roman" w:cs="Times New Roman"/>
          <w:sz w:val="24"/>
          <w:szCs w:val="24"/>
        </w:rPr>
        <w:t>plikácie otvárajú viaceré otázky dotýkajúce sa vzťahu práva Únie k vnútroštátnemu právu, napríklad, či medzinárodným právom tradičné rozlišovanie medzi konceptom monizmu a dualizmu (upravujúcim vzťah vnútroštátneho práva k medzinárodnému právu) je nápomocné pre správne pochopenie a adekvátny popis vzťahu práva EÚ k právnym poriadkom členských štátov.</w:t>
      </w:r>
      <w:r w:rsidR="001216FD" w:rsidRPr="00AD670D">
        <w:rPr>
          <w:rStyle w:val="Odkaznapoznmkupodiarou"/>
          <w:rFonts w:ascii="Times New Roman" w:hAnsi="Times New Roman" w:cs="Times New Roman"/>
          <w:sz w:val="24"/>
          <w:szCs w:val="24"/>
        </w:rPr>
        <w:footnoteReference w:id="1"/>
      </w:r>
      <w:r w:rsidR="001216FD" w:rsidRPr="00AD670D">
        <w:rPr>
          <w:rFonts w:ascii="Times New Roman" w:hAnsi="Times New Roman" w:cs="Times New Roman"/>
          <w:sz w:val="24"/>
          <w:szCs w:val="24"/>
        </w:rPr>
        <w:t xml:space="preserve"> </w:t>
      </w:r>
      <w:r w:rsidR="00AD670D" w:rsidRPr="00AD670D">
        <w:rPr>
          <w:rFonts w:ascii="Times New Roman" w:hAnsi="Times New Roman" w:cs="Times New Roman"/>
          <w:sz w:val="24"/>
          <w:szCs w:val="24"/>
        </w:rPr>
        <w:t>Vzťah medzi právom E</w:t>
      </w:r>
      <w:r w:rsidR="00D0306F">
        <w:rPr>
          <w:rFonts w:ascii="Times New Roman" w:hAnsi="Times New Roman" w:cs="Times New Roman"/>
          <w:sz w:val="24"/>
          <w:szCs w:val="24"/>
        </w:rPr>
        <w:t>U a vnútroštátnym právom</w:t>
      </w:r>
      <w:r w:rsidR="00AD670D" w:rsidRPr="00AD670D">
        <w:rPr>
          <w:rFonts w:ascii="Times New Roman" w:hAnsi="Times New Roman" w:cs="Times New Roman"/>
          <w:sz w:val="24"/>
          <w:szCs w:val="24"/>
        </w:rPr>
        <w:t xml:space="preserve"> nie je možné vymedziť hierarchický</w:t>
      </w:r>
      <w:r w:rsidR="00D0306F">
        <w:rPr>
          <w:rFonts w:ascii="Times New Roman" w:hAnsi="Times New Roman" w:cs="Times New Roman"/>
          <w:sz w:val="24"/>
          <w:szCs w:val="24"/>
        </w:rPr>
        <w:t>m</w:t>
      </w:r>
      <w:r w:rsidR="00AD670D" w:rsidRPr="00AD670D">
        <w:rPr>
          <w:rFonts w:ascii="Times New Roman" w:hAnsi="Times New Roman" w:cs="Times New Roman"/>
          <w:sz w:val="24"/>
          <w:szCs w:val="24"/>
        </w:rPr>
        <w:t xml:space="preserve"> podriadením jedného práva pod druhé, vnútroštátneho pod </w:t>
      </w:r>
      <w:proofErr w:type="spellStart"/>
      <w:r w:rsidR="00AD670D" w:rsidRPr="00AD670D">
        <w:rPr>
          <w:rFonts w:ascii="Times New Roman" w:hAnsi="Times New Roman" w:cs="Times New Roman"/>
          <w:sz w:val="24"/>
          <w:szCs w:val="24"/>
        </w:rPr>
        <w:t>únijné</w:t>
      </w:r>
      <w:proofErr w:type="spellEnd"/>
      <w:r w:rsidR="00AD670D" w:rsidRPr="00AD670D">
        <w:rPr>
          <w:rFonts w:ascii="Times New Roman" w:hAnsi="Times New Roman" w:cs="Times New Roman"/>
          <w:sz w:val="24"/>
          <w:szCs w:val="24"/>
        </w:rPr>
        <w:t xml:space="preserve"> alebo únijného pod vnútroštátne (v tomto kontexte</w:t>
      </w:r>
      <w:r w:rsidR="008B3A82">
        <w:rPr>
          <w:rFonts w:ascii="Times New Roman" w:hAnsi="Times New Roman" w:cs="Times New Roman"/>
          <w:sz w:val="24"/>
          <w:szCs w:val="24"/>
        </w:rPr>
        <w:t xml:space="preserve"> napríklad</w:t>
      </w:r>
      <w:r w:rsidR="00AD670D" w:rsidRPr="00AD670D">
        <w:rPr>
          <w:rFonts w:ascii="Times New Roman" w:hAnsi="Times New Roman" w:cs="Times New Roman"/>
          <w:sz w:val="24"/>
          <w:szCs w:val="24"/>
        </w:rPr>
        <w:t xml:space="preserve"> </w:t>
      </w:r>
      <w:r w:rsidR="00AD670D" w:rsidRPr="00AD670D">
        <w:rPr>
          <w:rFonts w:ascii="Times New Roman" w:hAnsi="Times New Roman" w:cs="Times New Roman"/>
          <w:sz w:val="24"/>
          <w:szCs w:val="24"/>
        </w:rPr>
        <w:lastRenderedPageBreak/>
        <w:t xml:space="preserve">porovnaj judikatúru Súdneho dvora EÚ týkajúcu sa princípu prednosti práva EÚ s čl. 7 ods. 2 a ods. 5 Ústavy Slovenskej republiky priznávajúci prednosť právu Únie len pred zákonmi). </w:t>
      </w:r>
    </w:p>
    <w:p w:rsidR="008B5DD1" w:rsidRDefault="008B5DD1" w:rsidP="0062145E">
      <w:pPr>
        <w:spacing w:line="240" w:lineRule="auto"/>
        <w:ind w:firstLine="708"/>
        <w:jc w:val="both"/>
        <w:rPr>
          <w:rFonts w:ascii="Times New Roman" w:hAnsi="Times New Roman" w:cs="Times New Roman"/>
          <w:b/>
          <w:bCs/>
          <w:i/>
          <w:iCs/>
          <w:sz w:val="24"/>
          <w:szCs w:val="24"/>
        </w:rPr>
      </w:pPr>
    </w:p>
    <w:p w:rsidR="0062145E" w:rsidRDefault="002A0A21" w:rsidP="0062145E">
      <w:pPr>
        <w:spacing w:line="240" w:lineRule="auto"/>
        <w:ind w:firstLine="708"/>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(II.) </w:t>
      </w:r>
      <w:r w:rsidR="0062145E" w:rsidRPr="00630539">
        <w:rPr>
          <w:rFonts w:ascii="Times New Roman" w:hAnsi="Times New Roman" w:cs="Times New Roman"/>
          <w:b/>
          <w:bCs/>
          <w:i/>
          <w:iCs/>
          <w:sz w:val="24"/>
          <w:szCs w:val="24"/>
        </w:rPr>
        <w:t>Pr</w:t>
      </w:r>
      <w:r w:rsidR="0062145E">
        <w:rPr>
          <w:rFonts w:ascii="Times New Roman" w:hAnsi="Times New Roman" w:cs="Times New Roman"/>
          <w:b/>
          <w:bCs/>
          <w:i/>
          <w:iCs/>
          <w:sz w:val="24"/>
          <w:szCs w:val="24"/>
        </w:rPr>
        <w:t xml:space="preserve">amene práva </w:t>
      </w:r>
      <w:r w:rsidR="0062145E" w:rsidRPr="00630539">
        <w:rPr>
          <w:rFonts w:ascii="Times New Roman" w:hAnsi="Times New Roman" w:cs="Times New Roman"/>
          <w:b/>
          <w:bCs/>
          <w:i/>
          <w:iCs/>
          <w:sz w:val="24"/>
          <w:szCs w:val="24"/>
        </w:rPr>
        <w:t>E</w:t>
      </w:r>
      <w:r w:rsidR="008B5DD1">
        <w:rPr>
          <w:rFonts w:ascii="Times New Roman" w:hAnsi="Times New Roman" w:cs="Times New Roman"/>
          <w:b/>
          <w:bCs/>
          <w:i/>
          <w:iCs/>
          <w:sz w:val="24"/>
          <w:szCs w:val="24"/>
        </w:rPr>
        <w:t>Ú</w:t>
      </w:r>
      <w:r w:rsidR="008B3A82">
        <w:rPr>
          <w:rFonts w:ascii="Times New Roman" w:hAnsi="Times New Roman" w:cs="Times New Roman"/>
          <w:b/>
          <w:bCs/>
          <w:i/>
          <w:iCs/>
          <w:sz w:val="24"/>
          <w:szCs w:val="24"/>
        </w:rPr>
        <w:t xml:space="preserve"> (hierarchická výstavba právneho systému EÚ)</w:t>
      </w:r>
      <w:r w:rsidR="0062145E" w:rsidRPr="00630539">
        <w:rPr>
          <w:rFonts w:ascii="Times New Roman" w:hAnsi="Times New Roman" w:cs="Times New Roman"/>
          <w:b/>
          <w:bCs/>
          <w:i/>
          <w:iCs/>
          <w:sz w:val="24"/>
          <w:szCs w:val="24"/>
        </w:rPr>
        <w:t>:</w:t>
      </w:r>
    </w:p>
    <w:p w:rsidR="006A0977" w:rsidRPr="006A0977" w:rsidRDefault="006A0977" w:rsidP="006A0977">
      <w:pPr>
        <w:numPr>
          <w:ilvl w:val="0"/>
          <w:numId w:val="3"/>
        </w:numPr>
        <w:spacing w:after="0" w:line="240" w:lineRule="auto"/>
        <w:jc w:val="both"/>
        <w:rPr>
          <w:rFonts w:ascii="Times New Roman" w:hAnsi="Times New Roman" w:cs="Times New Roman"/>
          <w:sz w:val="24"/>
          <w:szCs w:val="24"/>
        </w:rPr>
      </w:pPr>
      <w:r w:rsidRPr="006A0977">
        <w:rPr>
          <w:rFonts w:ascii="Times New Roman" w:hAnsi="Times New Roman" w:cs="Times New Roman"/>
          <w:sz w:val="24"/>
          <w:szCs w:val="24"/>
        </w:rPr>
        <w:t>Hodnotové základy práva E</w:t>
      </w:r>
      <w:r>
        <w:rPr>
          <w:rFonts w:ascii="Times New Roman" w:hAnsi="Times New Roman" w:cs="Times New Roman"/>
          <w:sz w:val="24"/>
          <w:szCs w:val="24"/>
        </w:rPr>
        <w:t>Ú</w:t>
      </w:r>
      <w:r w:rsidRPr="006A0977">
        <w:rPr>
          <w:rFonts w:ascii="Times New Roman" w:hAnsi="Times New Roman" w:cs="Times New Roman"/>
          <w:sz w:val="24"/>
          <w:szCs w:val="24"/>
        </w:rPr>
        <w:t xml:space="preserve"> (čl. 2 ZE</w:t>
      </w:r>
      <w:r w:rsidR="00850305">
        <w:rPr>
          <w:rFonts w:ascii="Times New Roman" w:hAnsi="Times New Roman" w:cs="Times New Roman"/>
          <w:sz w:val="24"/>
          <w:szCs w:val="24"/>
        </w:rPr>
        <w:t>Ú</w:t>
      </w:r>
      <w:r w:rsidRPr="006A0977">
        <w:rPr>
          <w:rFonts w:ascii="Times New Roman" w:hAnsi="Times New Roman" w:cs="Times New Roman"/>
          <w:sz w:val="24"/>
          <w:szCs w:val="24"/>
        </w:rPr>
        <w:t>)</w:t>
      </w:r>
      <w:r w:rsidR="009F2028">
        <w:rPr>
          <w:rFonts w:ascii="Times New Roman" w:hAnsi="Times New Roman" w:cs="Times New Roman"/>
          <w:sz w:val="24"/>
          <w:szCs w:val="24"/>
        </w:rPr>
        <w:t>.</w:t>
      </w:r>
    </w:p>
    <w:p w:rsidR="006A0977" w:rsidRPr="006A0977" w:rsidRDefault="009F2028" w:rsidP="006A0977">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6A0977" w:rsidRPr="006A0977">
        <w:rPr>
          <w:rFonts w:ascii="Times New Roman" w:hAnsi="Times New Roman" w:cs="Times New Roman"/>
          <w:sz w:val="24"/>
          <w:szCs w:val="24"/>
        </w:rPr>
        <w:t>šeobecné právne zásady práva EU</w:t>
      </w:r>
      <w:r w:rsidR="006A0977">
        <w:rPr>
          <w:rFonts w:ascii="Times New Roman" w:hAnsi="Times New Roman" w:cs="Times New Roman"/>
          <w:sz w:val="24"/>
          <w:szCs w:val="24"/>
        </w:rPr>
        <w:t xml:space="preserve"> vrátane zásady ochrany </w:t>
      </w:r>
      <w:r w:rsidR="006A0977" w:rsidRPr="006A0977">
        <w:rPr>
          <w:rFonts w:ascii="Times New Roman" w:hAnsi="Times New Roman" w:cs="Times New Roman"/>
          <w:sz w:val="24"/>
          <w:szCs w:val="24"/>
        </w:rPr>
        <w:t>základných práv</w:t>
      </w:r>
      <w:r>
        <w:rPr>
          <w:rFonts w:ascii="Times New Roman" w:hAnsi="Times New Roman" w:cs="Times New Roman"/>
          <w:sz w:val="24"/>
          <w:szCs w:val="24"/>
        </w:rPr>
        <w:t>.</w:t>
      </w:r>
    </w:p>
    <w:p w:rsidR="006A0977" w:rsidRPr="006A0977" w:rsidRDefault="009F2028" w:rsidP="006A0977">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6A0977" w:rsidRPr="006A0977">
        <w:rPr>
          <w:rFonts w:ascii="Times New Roman" w:hAnsi="Times New Roman" w:cs="Times New Roman"/>
          <w:sz w:val="24"/>
          <w:szCs w:val="24"/>
        </w:rPr>
        <w:t>ísané primárne právo, ktorým sú najmä ZFE</w:t>
      </w:r>
      <w:r w:rsidR="006A0977">
        <w:rPr>
          <w:rFonts w:ascii="Times New Roman" w:hAnsi="Times New Roman" w:cs="Times New Roman"/>
          <w:sz w:val="24"/>
          <w:szCs w:val="24"/>
        </w:rPr>
        <w:t>Ú a ZEÚ</w:t>
      </w:r>
      <w:r w:rsidR="006A0977" w:rsidRPr="006A0977">
        <w:rPr>
          <w:rFonts w:ascii="Times New Roman" w:hAnsi="Times New Roman" w:cs="Times New Roman"/>
          <w:sz w:val="24"/>
          <w:szCs w:val="24"/>
        </w:rPr>
        <w:t xml:space="preserve"> spolu s protokolmi a</w:t>
      </w:r>
      <w:r w:rsidR="006A0977">
        <w:rPr>
          <w:rFonts w:ascii="Times New Roman" w:hAnsi="Times New Roman" w:cs="Times New Roman"/>
          <w:sz w:val="24"/>
          <w:szCs w:val="24"/>
        </w:rPr>
        <w:t> </w:t>
      </w:r>
      <w:r w:rsidR="006A0977" w:rsidRPr="006A0977">
        <w:rPr>
          <w:rFonts w:ascii="Times New Roman" w:hAnsi="Times New Roman" w:cs="Times New Roman"/>
          <w:sz w:val="24"/>
          <w:szCs w:val="24"/>
        </w:rPr>
        <w:t>prílohami</w:t>
      </w:r>
      <w:r w:rsidR="006A0977">
        <w:rPr>
          <w:rFonts w:ascii="Times New Roman" w:hAnsi="Times New Roman" w:cs="Times New Roman"/>
          <w:sz w:val="24"/>
          <w:szCs w:val="24"/>
        </w:rPr>
        <w:t xml:space="preserve"> k nim pripojenými</w:t>
      </w:r>
      <w:r>
        <w:rPr>
          <w:rFonts w:ascii="Times New Roman" w:hAnsi="Times New Roman" w:cs="Times New Roman"/>
          <w:sz w:val="24"/>
          <w:szCs w:val="24"/>
        </w:rPr>
        <w:t>.</w:t>
      </w:r>
    </w:p>
    <w:p w:rsidR="006A0977" w:rsidRPr="006A0977" w:rsidRDefault="009F2028" w:rsidP="006A0977">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6A0977" w:rsidRPr="006A0977">
        <w:rPr>
          <w:rFonts w:ascii="Times New Roman" w:hAnsi="Times New Roman" w:cs="Times New Roman"/>
          <w:sz w:val="24"/>
          <w:szCs w:val="24"/>
        </w:rPr>
        <w:t xml:space="preserve">edzinárodné </w:t>
      </w:r>
      <w:r w:rsidR="006A0977">
        <w:rPr>
          <w:rFonts w:ascii="Times New Roman" w:hAnsi="Times New Roman" w:cs="Times New Roman"/>
          <w:sz w:val="24"/>
          <w:szCs w:val="24"/>
        </w:rPr>
        <w:t>zmluvy</w:t>
      </w:r>
      <w:r w:rsidR="006A0977" w:rsidRPr="006A0977">
        <w:rPr>
          <w:rFonts w:ascii="Times New Roman" w:hAnsi="Times New Roman" w:cs="Times New Roman"/>
          <w:sz w:val="24"/>
          <w:szCs w:val="24"/>
        </w:rPr>
        <w:t xml:space="preserve">, ktoré </w:t>
      </w:r>
      <w:r w:rsidR="006A0977">
        <w:rPr>
          <w:rFonts w:ascii="Times New Roman" w:hAnsi="Times New Roman" w:cs="Times New Roman"/>
          <w:sz w:val="24"/>
          <w:szCs w:val="24"/>
        </w:rPr>
        <w:t xml:space="preserve">uzavrela </w:t>
      </w:r>
      <w:r w:rsidR="006A0977" w:rsidRPr="006A0977">
        <w:rPr>
          <w:rFonts w:ascii="Times New Roman" w:hAnsi="Times New Roman" w:cs="Times New Roman"/>
          <w:sz w:val="24"/>
          <w:szCs w:val="24"/>
        </w:rPr>
        <w:t>E</w:t>
      </w:r>
      <w:r w:rsidR="006A0977">
        <w:rPr>
          <w:rFonts w:ascii="Times New Roman" w:hAnsi="Times New Roman" w:cs="Times New Roman"/>
          <w:sz w:val="24"/>
          <w:szCs w:val="24"/>
        </w:rPr>
        <w:t>Ú</w:t>
      </w:r>
      <w:r>
        <w:rPr>
          <w:rFonts w:ascii="Times New Roman" w:hAnsi="Times New Roman" w:cs="Times New Roman"/>
          <w:sz w:val="24"/>
          <w:szCs w:val="24"/>
        </w:rPr>
        <w:t>.</w:t>
      </w:r>
      <w:r w:rsidR="006A0977">
        <w:rPr>
          <w:rFonts w:ascii="Times New Roman" w:hAnsi="Times New Roman" w:cs="Times New Roman"/>
          <w:sz w:val="24"/>
          <w:szCs w:val="24"/>
        </w:rPr>
        <w:t xml:space="preserve"> </w:t>
      </w:r>
    </w:p>
    <w:p w:rsidR="006A0977" w:rsidRPr="006A0977" w:rsidRDefault="009F2028" w:rsidP="006A0977">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6A0977" w:rsidRPr="006A0977">
        <w:rPr>
          <w:rFonts w:ascii="Times New Roman" w:hAnsi="Times New Roman" w:cs="Times New Roman"/>
          <w:sz w:val="24"/>
          <w:szCs w:val="24"/>
        </w:rPr>
        <w:t>ekundárne právo E</w:t>
      </w:r>
      <w:r w:rsidR="00850305">
        <w:rPr>
          <w:rFonts w:ascii="Times New Roman" w:hAnsi="Times New Roman" w:cs="Times New Roman"/>
          <w:sz w:val="24"/>
          <w:szCs w:val="24"/>
        </w:rPr>
        <w:t>Ú</w:t>
      </w:r>
      <w:r w:rsidR="006A0977" w:rsidRPr="006A0977">
        <w:rPr>
          <w:rFonts w:ascii="Times New Roman" w:hAnsi="Times New Roman" w:cs="Times New Roman"/>
          <w:sz w:val="24"/>
          <w:szCs w:val="24"/>
        </w:rPr>
        <w:t>:</w:t>
      </w:r>
    </w:p>
    <w:p w:rsidR="006A0977" w:rsidRDefault="006A0977" w:rsidP="006A0977">
      <w:pPr>
        <w:numPr>
          <w:ilvl w:val="1"/>
          <w:numId w:val="3"/>
        </w:numPr>
        <w:spacing w:after="0" w:line="240" w:lineRule="auto"/>
        <w:jc w:val="both"/>
        <w:rPr>
          <w:rFonts w:ascii="Times New Roman" w:hAnsi="Times New Roman" w:cs="Times New Roman"/>
          <w:sz w:val="24"/>
          <w:szCs w:val="24"/>
        </w:rPr>
      </w:pPr>
      <w:r w:rsidRPr="006A0977">
        <w:rPr>
          <w:rFonts w:ascii="Times New Roman" w:hAnsi="Times New Roman" w:cs="Times New Roman"/>
          <w:sz w:val="24"/>
          <w:szCs w:val="24"/>
        </w:rPr>
        <w:t>legislatívne právne akty,</w:t>
      </w:r>
    </w:p>
    <w:p w:rsidR="006A0977" w:rsidRPr="006A0977" w:rsidRDefault="006A0977" w:rsidP="006A0977">
      <w:pPr>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nelegislatívne právne akty</w:t>
      </w:r>
      <w:r w:rsidR="009F2028">
        <w:rPr>
          <w:rFonts w:ascii="Times New Roman" w:hAnsi="Times New Roman" w:cs="Times New Roman"/>
          <w:sz w:val="24"/>
          <w:szCs w:val="24"/>
        </w:rPr>
        <w:t>:</w:t>
      </w:r>
    </w:p>
    <w:p w:rsidR="006A0977" w:rsidRDefault="006A0977" w:rsidP="006A0977">
      <w:pPr>
        <w:pStyle w:val="Odsekzoznamu"/>
        <w:spacing w:after="0" w:line="240" w:lineRule="auto"/>
        <w:ind w:left="928"/>
        <w:jc w:val="both"/>
        <w:rPr>
          <w:rFonts w:ascii="Times New Roman" w:hAnsi="Times New Roman" w:cs="Times New Roman"/>
          <w:sz w:val="24"/>
          <w:szCs w:val="24"/>
        </w:rPr>
      </w:pPr>
      <w:r>
        <w:rPr>
          <w:rFonts w:ascii="Times New Roman" w:hAnsi="Times New Roman" w:cs="Times New Roman"/>
          <w:sz w:val="24"/>
          <w:szCs w:val="24"/>
        </w:rPr>
        <w:t xml:space="preserve">            - </w:t>
      </w:r>
      <w:r w:rsidRPr="006A0977">
        <w:rPr>
          <w:rFonts w:ascii="Times New Roman" w:hAnsi="Times New Roman" w:cs="Times New Roman"/>
          <w:sz w:val="24"/>
          <w:szCs w:val="24"/>
        </w:rPr>
        <w:t xml:space="preserve">delegované právne akty prijaté Komisiou </w:t>
      </w:r>
      <w:r>
        <w:rPr>
          <w:rFonts w:ascii="Times New Roman" w:hAnsi="Times New Roman" w:cs="Times New Roman"/>
          <w:sz w:val="24"/>
          <w:szCs w:val="24"/>
        </w:rPr>
        <w:t xml:space="preserve">na základe čl. 290 ZFEÚ </w:t>
      </w:r>
      <w:r w:rsidRPr="006A0977">
        <w:rPr>
          <w:rFonts w:ascii="Times New Roman" w:hAnsi="Times New Roman" w:cs="Times New Roman"/>
          <w:sz w:val="24"/>
          <w:szCs w:val="24"/>
        </w:rPr>
        <w:t xml:space="preserve">v rámci </w:t>
      </w:r>
      <w:r>
        <w:rPr>
          <w:rFonts w:ascii="Times New Roman" w:hAnsi="Times New Roman" w:cs="Times New Roman"/>
          <w:sz w:val="24"/>
          <w:szCs w:val="24"/>
        </w:rPr>
        <w:t xml:space="preserve"> </w:t>
      </w:r>
    </w:p>
    <w:p w:rsidR="006A0977" w:rsidRDefault="006A0977" w:rsidP="006A0977">
      <w:pPr>
        <w:pStyle w:val="Odsekzoznamu"/>
        <w:spacing w:after="0" w:line="240" w:lineRule="auto"/>
        <w:ind w:left="928"/>
        <w:jc w:val="both"/>
        <w:rPr>
          <w:rFonts w:ascii="Times New Roman" w:hAnsi="Times New Roman" w:cs="Times New Roman"/>
          <w:sz w:val="24"/>
          <w:szCs w:val="24"/>
        </w:rPr>
      </w:pPr>
      <w:r>
        <w:rPr>
          <w:rFonts w:ascii="Times New Roman" w:hAnsi="Times New Roman" w:cs="Times New Roman"/>
          <w:sz w:val="24"/>
          <w:szCs w:val="24"/>
        </w:rPr>
        <w:t xml:space="preserve">               </w:t>
      </w:r>
      <w:r w:rsidRPr="006A0977">
        <w:rPr>
          <w:rFonts w:ascii="Times New Roman" w:hAnsi="Times New Roman" w:cs="Times New Roman"/>
          <w:sz w:val="24"/>
          <w:szCs w:val="24"/>
        </w:rPr>
        <w:t>jej delegovaných právomocí</w:t>
      </w:r>
      <w:r w:rsidR="009F2028">
        <w:rPr>
          <w:rFonts w:ascii="Times New Roman" w:hAnsi="Times New Roman" w:cs="Times New Roman"/>
          <w:sz w:val="24"/>
          <w:szCs w:val="24"/>
        </w:rPr>
        <w:t>,</w:t>
      </w:r>
    </w:p>
    <w:p w:rsidR="006A0977" w:rsidRDefault="006A0977" w:rsidP="006A0977">
      <w:pPr>
        <w:pStyle w:val="Odsekzoznamu"/>
        <w:spacing w:after="0" w:line="240" w:lineRule="auto"/>
        <w:ind w:left="928"/>
        <w:jc w:val="both"/>
        <w:rPr>
          <w:rFonts w:ascii="Times New Roman" w:hAnsi="Times New Roman" w:cs="Times New Roman"/>
          <w:sz w:val="24"/>
          <w:szCs w:val="24"/>
        </w:rPr>
      </w:pPr>
      <w:r>
        <w:rPr>
          <w:rFonts w:ascii="Times New Roman" w:hAnsi="Times New Roman" w:cs="Times New Roman"/>
          <w:sz w:val="24"/>
          <w:szCs w:val="24"/>
        </w:rPr>
        <w:t xml:space="preserve">            - </w:t>
      </w:r>
      <w:r w:rsidRPr="006A0977">
        <w:rPr>
          <w:rFonts w:ascii="Times New Roman" w:hAnsi="Times New Roman" w:cs="Times New Roman"/>
          <w:sz w:val="24"/>
          <w:szCs w:val="24"/>
        </w:rPr>
        <w:t xml:space="preserve">implementačné právne akty, prijaté Komisiou alebo Radou </w:t>
      </w:r>
      <w:r>
        <w:rPr>
          <w:rFonts w:ascii="Times New Roman" w:hAnsi="Times New Roman" w:cs="Times New Roman"/>
          <w:sz w:val="24"/>
          <w:szCs w:val="24"/>
        </w:rPr>
        <w:t xml:space="preserve">podľa čl.  </w:t>
      </w:r>
    </w:p>
    <w:p w:rsidR="006A0977" w:rsidRDefault="006A0977" w:rsidP="006A0977">
      <w:pPr>
        <w:pStyle w:val="Odsekzoznamu"/>
        <w:spacing w:after="0" w:line="240" w:lineRule="auto"/>
        <w:ind w:left="928"/>
        <w:jc w:val="both"/>
        <w:rPr>
          <w:rFonts w:ascii="Times New Roman" w:hAnsi="Times New Roman" w:cs="Times New Roman"/>
          <w:sz w:val="24"/>
          <w:szCs w:val="24"/>
        </w:rPr>
      </w:pPr>
      <w:r>
        <w:rPr>
          <w:rFonts w:ascii="Times New Roman" w:hAnsi="Times New Roman" w:cs="Times New Roman"/>
          <w:sz w:val="24"/>
          <w:szCs w:val="24"/>
        </w:rPr>
        <w:t xml:space="preserve">              291 ZFEÚ</w:t>
      </w:r>
      <w:r w:rsidRPr="006A0977">
        <w:rPr>
          <w:rFonts w:ascii="Times New Roman" w:hAnsi="Times New Roman" w:cs="Times New Roman"/>
          <w:sz w:val="24"/>
          <w:szCs w:val="24"/>
        </w:rPr>
        <w:t xml:space="preserve"> </w:t>
      </w:r>
      <w:r>
        <w:rPr>
          <w:rFonts w:ascii="Times New Roman" w:hAnsi="Times New Roman" w:cs="Times New Roman"/>
          <w:sz w:val="24"/>
          <w:szCs w:val="24"/>
        </w:rPr>
        <w:t xml:space="preserve">na základe </w:t>
      </w:r>
      <w:r w:rsidRPr="006A0977">
        <w:rPr>
          <w:rFonts w:ascii="Times New Roman" w:hAnsi="Times New Roman" w:cs="Times New Roman"/>
          <w:sz w:val="24"/>
          <w:szCs w:val="24"/>
        </w:rPr>
        <w:t>uplat</w:t>
      </w:r>
      <w:r>
        <w:rPr>
          <w:rFonts w:ascii="Times New Roman" w:hAnsi="Times New Roman" w:cs="Times New Roman"/>
          <w:sz w:val="24"/>
          <w:szCs w:val="24"/>
        </w:rPr>
        <w:t>nenia implementačných právomocí</w:t>
      </w:r>
      <w:r w:rsidR="009F2028">
        <w:rPr>
          <w:rFonts w:ascii="Times New Roman" w:hAnsi="Times New Roman" w:cs="Times New Roman"/>
          <w:sz w:val="24"/>
          <w:szCs w:val="24"/>
        </w:rPr>
        <w:t>.</w:t>
      </w:r>
    </w:p>
    <w:p w:rsidR="006A0977" w:rsidRPr="006A0977" w:rsidRDefault="009F2028" w:rsidP="006A0977">
      <w:pPr>
        <w:pStyle w:val="Odsekzoznamu"/>
        <w:numPr>
          <w:ilvl w:val="0"/>
          <w:numId w:val="3"/>
        </w:numPr>
        <w:tabs>
          <w:tab w:val="left" w:pos="851"/>
        </w:tabs>
        <w:jc w:val="both"/>
        <w:rPr>
          <w:rFonts w:ascii="Times New Roman" w:hAnsi="Times New Roman" w:cs="Times New Roman"/>
          <w:sz w:val="24"/>
          <w:szCs w:val="24"/>
        </w:rPr>
      </w:pPr>
      <w:r>
        <w:rPr>
          <w:rFonts w:ascii="Times New Roman" w:hAnsi="Times New Roman" w:cs="Times New Roman"/>
          <w:sz w:val="24"/>
          <w:szCs w:val="24"/>
        </w:rPr>
        <w:t>P</w:t>
      </w:r>
      <w:r w:rsidR="006A0977" w:rsidRPr="006A0977">
        <w:rPr>
          <w:rFonts w:ascii="Times New Roman" w:hAnsi="Times New Roman" w:cs="Times New Roman"/>
          <w:sz w:val="24"/>
          <w:szCs w:val="24"/>
        </w:rPr>
        <w:t>rávne akty prijímané členskými štátmi na vykonanie právne záväzných aktov Únie podľa čl. 291 ods. 1 ZFEÚ.</w:t>
      </w:r>
    </w:p>
    <w:p w:rsidR="002A0A21" w:rsidRDefault="002A0A21" w:rsidP="0062145E">
      <w:pPr>
        <w:spacing w:line="240" w:lineRule="auto"/>
        <w:ind w:firstLine="708"/>
        <w:jc w:val="both"/>
        <w:rPr>
          <w:rFonts w:ascii="Times New Roman" w:hAnsi="Times New Roman" w:cs="Times New Roman"/>
          <w:b/>
          <w:bCs/>
          <w:i/>
          <w:iCs/>
          <w:sz w:val="24"/>
          <w:szCs w:val="24"/>
        </w:rPr>
      </w:pPr>
    </w:p>
    <w:p w:rsidR="001C4676" w:rsidRPr="002F640E" w:rsidRDefault="002A0A21" w:rsidP="002F640E">
      <w:pPr>
        <w:spacing w:line="240" w:lineRule="auto"/>
        <w:ind w:firstLine="708"/>
        <w:jc w:val="both"/>
        <w:rPr>
          <w:rFonts w:ascii="Times New Roman" w:hAnsi="Times New Roman" w:cs="Times New Roman"/>
          <w:b/>
          <w:sz w:val="24"/>
          <w:szCs w:val="24"/>
        </w:rPr>
      </w:pPr>
      <w:r w:rsidRPr="002F640E">
        <w:rPr>
          <w:rFonts w:ascii="Times New Roman" w:hAnsi="Times New Roman" w:cs="Times New Roman"/>
          <w:b/>
          <w:bCs/>
          <w:i/>
          <w:iCs/>
          <w:sz w:val="24"/>
          <w:szCs w:val="24"/>
        </w:rPr>
        <w:t xml:space="preserve">(III.) </w:t>
      </w:r>
      <w:r w:rsidR="0062145E" w:rsidRPr="002F640E">
        <w:rPr>
          <w:rFonts w:ascii="Times New Roman" w:hAnsi="Times New Roman" w:cs="Times New Roman"/>
          <w:b/>
          <w:bCs/>
          <w:i/>
          <w:iCs/>
          <w:sz w:val="24"/>
          <w:szCs w:val="24"/>
        </w:rPr>
        <w:t xml:space="preserve">Vzťah </w:t>
      </w:r>
      <w:r w:rsidR="002F640E" w:rsidRPr="002F640E">
        <w:rPr>
          <w:rFonts w:ascii="Times New Roman" w:hAnsi="Times New Roman" w:cs="Times New Roman"/>
          <w:b/>
          <w:bCs/>
          <w:i/>
          <w:iCs/>
          <w:sz w:val="24"/>
          <w:szCs w:val="24"/>
        </w:rPr>
        <w:t>práva EÚ k medzinárodnému právu (k</w:t>
      </w:r>
      <w:r w:rsidR="001C4676" w:rsidRPr="002F640E">
        <w:rPr>
          <w:rFonts w:ascii="Times New Roman" w:hAnsi="Times New Roman" w:cs="Times New Roman"/>
          <w:b/>
          <w:i/>
          <w:sz w:val="24"/>
          <w:szCs w:val="24"/>
        </w:rPr>
        <w:t xml:space="preserve"> </w:t>
      </w:r>
      <w:r w:rsidR="002F640E" w:rsidRPr="002F640E">
        <w:rPr>
          <w:rFonts w:ascii="Times New Roman" w:hAnsi="Times New Roman" w:cs="Times New Roman"/>
          <w:b/>
          <w:i/>
          <w:sz w:val="24"/>
          <w:szCs w:val="24"/>
        </w:rPr>
        <w:t>medzinárodným</w:t>
      </w:r>
      <w:r w:rsidR="001C4676" w:rsidRPr="002F640E">
        <w:rPr>
          <w:rFonts w:ascii="Times New Roman" w:hAnsi="Times New Roman" w:cs="Times New Roman"/>
          <w:b/>
          <w:i/>
          <w:sz w:val="24"/>
          <w:szCs w:val="24"/>
        </w:rPr>
        <w:t xml:space="preserve"> dohovor</w:t>
      </w:r>
      <w:r w:rsidR="002F640E" w:rsidRPr="002F640E">
        <w:rPr>
          <w:rFonts w:ascii="Times New Roman" w:hAnsi="Times New Roman" w:cs="Times New Roman"/>
          <w:b/>
          <w:i/>
          <w:sz w:val="24"/>
          <w:szCs w:val="24"/>
        </w:rPr>
        <w:t>om</w:t>
      </w:r>
      <w:r w:rsidR="001C4676" w:rsidRPr="002F640E">
        <w:rPr>
          <w:rFonts w:ascii="Times New Roman" w:hAnsi="Times New Roman" w:cs="Times New Roman"/>
          <w:b/>
          <w:i/>
          <w:sz w:val="24"/>
          <w:szCs w:val="24"/>
        </w:rPr>
        <w:t>, ktoré viažu E</w:t>
      </w:r>
      <w:r w:rsidR="002F640E" w:rsidRPr="002F640E">
        <w:rPr>
          <w:rFonts w:ascii="Times New Roman" w:hAnsi="Times New Roman" w:cs="Times New Roman"/>
          <w:b/>
          <w:i/>
          <w:sz w:val="24"/>
          <w:szCs w:val="24"/>
        </w:rPr>
        <w:t>Ú</w:t>
      </w:r>
      <w:r w:rsidR="001C4676" w:rsidRPr="002F640E">
        <w:rPr>
          <w:rFonts w:ascii="Times New Roman" w:hAnsi="Times New Roman" w:cs="Times New Roman"/>
          <w:b/>
          <w:i/>
          <w:sz w:val="24"/>
          <w:szCs w:val="24"/>
        </w:rPr>
        <w:t xml:space="preserve"> ako aj </w:t>
      </w:r>
      <w:r w:rsidR="002F640E" w:rsidRPr="002F640E">
        <w:rPr>
          <w:rFonts w:ascii="Times New Roman" w:hAnsi="Times New Roman" w:cs="Times New Roman"/>
          <w:b/>
          <w:i/>
          <w:sz w:val="24"/>
          <w:szCs w:val="24"/>
        </w:rPr>
        <w:t xml:space="preserve">k </w:t>
      </w:r>
      <w:r w:rsidR="001C4676" w:rsidRPr="002F640E">
        <w:rPr>
          <w:rFonts w:ascii="Times New Roman" w:hAnsi="Times New Roman" w:cs="Times New Roman"/>
          <w:b/>
          <w:i/>
          <w:sz w:val="24"/>
          <w:szCs w:val="24"/>
        </w:rPr>
        <w:t>všeobecné</w:t>
      </w:r>
      <w:r w:rsidR="002F640E" w:rsidRPr="002F640E">
        <w:rPr>
          <w:rFonts w:ascii="Times New Roman" w:hAnsi="Times New Roman" w:cs="Times New Roman"/>
          <w:b/>
          <w:i/>
          <w:sz w:val="24"/>
          <w:szCs w:val="24"/>
        </w:rPr>
        <w:t>mu</w:t>
      </w:r>
      <w:r w:rsidR="001C4676" w:rsidRPr="002F640E">
        <w:rPr>
          <w:rFonts w:ascii="Times New Roman" w:hAnsi="Times New Roman" w:cs="Times New Roman"/>
          <w:b/>
          <w:i/>
          <w:sz w:val="24"/>
          <w:szCs w:val="24"/>
        </w:rPr>
        <w:t xml:space="preserve"> medzinárodné</w:t>
      </w:r>
      <w:r w:rsidR="002F640E" w:rsidRPr="002F640E">
        <w:rPr>
          <w:rFonts w:ascii="Times New Roman" w:hAnsi="Times New Roman" w:cs="Times New Roman"/>
          <w:b/>
          <w:i/>
          <w:sz w:val="24"/>
          <w:szCs w:val="24"/>
        </w:rPr>
        <w:t>mu právu</w:t>
      </w:r>
      <w:r w:rsidR="001C4676" w:rsidRPr="002F640E">
        <w:rPr>
          <w:rFonts w:ascii="Times New Roman" w:hAnsi="Times New Roman" w:cs="Times New Roman"/>
          <w:b/>
          <w:i/>
          <w:sz w:val="24"/>
          <w:szCs w:val="24"/>
        </w:rPr>
        <w:t xml:space="preserve"> verejné</w:t>
      </w:r>
      <w:r w:rsidR="002F640E" w:rsidRPr="002F640E">
        <w:rPr>
          <w:rFonts w:ascii="Times New Roman" w:hAnsi="Times New Roman" w:cs="Times New Roman"/>
          <w:b/>
          <w:i/>
          <w:sz w:val="24"/>
          <w:szCs w:val="24"/>
        </w:rPr>
        <w:t>mu ako takému</w:t>
      </w:r>
      <w:r w:rsidR="001C4676" w:rsidRPr="002F640E">
        <w:rPr>
          <w:rFonts w:ascii="Times New Roman" w:hAnsi="Times New Roman" w:cs="Times New Roman"/>
          <w:b/>
          <w:i/>
          <w:sz w:val="24"/>
          <w:szCs w:val="24"/>
        </w:rPr>
        <w:t xml:space="preserve"> a</w:t>
      </w:r>
      <w:r w:rsidR="002F640E" w:rsidRPr="002F640E">
        <w:rPr>
          <w:rFonts w:ascii="Times New Roman" w:hAnsi="Times New Roman" w:cs="Times New Roman"/>
          <w:b/>
          <w:i/>
          <w:sz w:val="24"/>
          <w:szCs w:val="24"/>
        </w:rPr>
        <w:t xml:space="preserve"> k </w:t>
      </w:r>
      <w:r w:rsidR="001C4676" w:rsidRPr="002F640E">
        <w:rPr>
          <w:rFonts w:ascii="Times New Roman" w:hAnsi="Times New Roman" w:cs="Times New Roman"/>
          <w:b/>
          <w:i/>
          <w:sz w:val="24"/>
          <w:szCs w:val="24"/>
        </w:rPr>
        <w:t>obyčajov</w:t>
      </w:r>
      <w:r w:rsidR="002F640E" w:rsidRPr="002F640E">
        <w:rPr>
          <w:rFonts w:ascii="Times New Roman" w:hAnsi="Times New Roman" w:cs="Times New Roman"/>
          <w:b/>
          <w:i/>
          <w:sz w:val="24"/>
          <w:szCs w:val="24"/>
        </w:rPr>
        <w:t xml:space="preserve">ým </w:t>
      </w:r>
      <w:r w:rsidR="001C4676" w:rsidRPr="002F640E">
        <w:rPr>
          <w:rFonts w:ascii="Times New Roman" w:hAnsi="Times New Roman" w:cs="Times New Roman"/>
          <w:b/>
          <w:i/>
          <w:sz w:val="24"/>
          <w:szCs w:val="24"/>
        </w:rPr>
        <w:t>pravidlá</w:t>
      </w:r>
      <w:r w:rsidR="002F640E" w:rsidRPr="002F640E">
        <w:rPr>
          <w:rFonts w:ascii="Times New Roman" w:hAnsi="Times New Roman" w:cs="Times New Roman"/>
          <w:b/>
          <w:i/>
          <w:sz w:val="24"/>
          <w:szCs w:val="24"/>
        </w:rPr>
        <w:t>m</w:t>
      </w:r>
      <w:r w:rsidR="001C4676" w:rsidRPr="002F640E">
        <w:rPr>
          <w:rFonts w:ascii="Times New Roman" w:hAnsi="Times New Roman" w:cs="Times New Roman"/>
          <w:b/>
          <w:i/>
          <w:sz w:val="24"/>
          <w:szCs w:val="24"/>
        </w:rPr>
        <w:t xml:space="preserve"> medzinárodného práva verejného</w:t>
      </w:r>
      <w:r w:rsidR="002F640E" w:rsidRPr="002F640E">
        <w:rPr>
          <w:rFonts w:ascii="Times New Roman" w:hAnsi="Times New Roman" w:cs="Times New Roman"/>
          <w:b/>
          <w:i/>
          <w:sz w:val="24"/>
          <w:szCs w:val="24"/>
        </w:rPr>
        <w:t>)</w:t>
      </w:r>
      <w:r w:rsidR="00701CE8" w:rsidRPr="00701CE8">
        <w:rPr>
          <w:rFonts w:ascii="Times New Roman" w:hAnsi="Times New Roman" w:cs="Times New Roman"/>
          <w:b/>
          <w:sz w:val="24"/>
          <w:szCs w:val="24"/>
        </w:rPr>
        <w:t>:</w:t>
      </w:r>
    </w:p>
    <w:p w:rsidR="001C4676" w:rsidRPr="00EC4754" w:rsidRDefault="00EC4754" w:rsidP="00EC4754">
      <w:pPr>
        <w:ind w:firstLine="708"/>
        <w:jc w:val="both"/>
        <w:rPr>
          <w:rFonts w:ascii="Times New Roman" w:hAnsi="Times New Roman" w:cs="Times New Roman"/>
          <w:sz w:val="24"/>
          <w:szCs w:val="24"/>
        </w:rPr>
      </w:pPr>
      <w:r w:rsidRPr="00EC4754">
        <w:rPr>
          <w:rFonts w:ascii="Times New Roman" w:hAnsi="Times New Roman" w:cs="Times New Roman"/>
          <w:sz w:val="24"/>
          <w:szCs w:val="24"/>
        </w:rPr>
        <w:t xml:space="preserve">Postavenie medzinárodného práva v právnom poriadku EÚ vyplýva z judikatúry Súdneho dvora. Judikatúra Súdneho dvora priznáva medzinárodnému právu </w:t>
      </w:r>
      <w:r w:rsidR="00B432D4">
        <w:rPr>
          <w:rFonts w:ascii="Times New Roman" w:hAnsi="Times New Roman" w:cs="Times New Roman"/>
          <w:sz w:val="24"/>
          <w:szCs w:val="24"/>
        </w:rPr>
        <w:t xml:space="preserve">(s výnimkou kogentných pravidiel medzinárodného práva) </w:t>
      </w:r>
      <w:r w:rsidRPr="00EC4754">
        <w:rPr>
          <w:rFonts w:ascii="Times New Roman" w:hAnsi="Times New Roman" w:cs="Times New Roman"/>
          <w:sz w:val="24"/>
          <w:szCs w:val="24"/>
        </w:rPr>
        <w:t xml:space="preserve">postavenie prameňa nachádzajúceho sa </w:t>
      </w:r>
      <w:r w:rsidR="001C4676" w:rsidRPr="00EC4754">
        <w:rPr>
          <w:rFonts w:ascii="Times New Roman" w:hAnsi="Times New Roman" w:cs="Times New Roman"/>
          <w:sz w:val="24"/>
          <w:szCs w:val="24"/>
        </w:rPr>
        <w:t xml:space="preserve">medzi primárnym právom </w:t>
      </w:r>
      <w:r w:rsidRPr="00EC4754">
        <w:rPr>
          <w:rFonts w:ascii="Times New Roman" w:hAnsi="Times New Roman" w:cs="Times New Roman"/>
          <w:sz w:val="24"/>
          <w:szCs w:val="24"/>
        </w:rPr>
        <w:t xml:space="preserve">EÚ </w:t>
      </w:r>
      <w:r w:rsidR="001C4676" w:rsidRPr="00EC4754">
        <w:rPr>
          <w:rFonts w:ascii="Times New Roman" w:hAnsi="Times New Roman" w:cs="Times New Roman"/>
          <w:sz w:val="24"/>
          <w:szCs w:val="24"/>
        </w:rPr>
        <w:t xml:space="preserve">a sekundárnym právom Únie. </w:t>
      </w:r>
    </w:p>
    <w:p w:rsidR="001C4676" w:rsidRDefault="001C4676" w:rsidP="00EC4754">
      <w:pPr>
        <w:ind w:firstLine="567"/>
        <w:jc w:val="both"/>
        <w:rPr>
          <w:rFonts w:ascii="Times New Roman" w:hAnsi="Times New Roman" w:cs="Times New Roman"/>
          <w:sz w:val="24"/>
          <w:szCs w:val="24"/>
        </w:rPr>
      </w:pPr>
      <w:r w:rsidRPr="00EC4754">
        <w:rPr>
          <w:rFonts w:ascii="Times New Roman" w:hAnsi="Times New Roman" w:cs="Times New Roman"/>
          <w:sz w:val="24"/>
          <w:szCs w:val="24"/>
        </w:rPr>
        <w:t xml:space="preserve">V rozsudku </w:t>
      </w:r>
      <w:r w:rsidR="00E41EC4" w:rsidRPr="00EC4754">
        <w:rPr>
          <w:rFonts w:ascii="Times New Roman" w:hAnsi="Times New Roman" w:cs="Times New Roman"/>
          <w:sz w:val="24"/>
          <w:szCs w:val="24"/>
        </w:rPr>
        <w:t xml:space="preserve">v spojených veciach C-402/05 P a C-415/05 P </w:t>
      </w:r>
      <w:r w:rsidR="00E41EC4" w:rsidRPr="00EC4754">
        <w:rPr>
          <w:rFonts w:ascii="Times New Roman" w:hAnsi="Times New Roman" w:cs="Times New Roman"/>
          <w:i/>
          <w:sz w:val="24"/>
          <w:szCs w:val="24"/>
        </w:rPr>
        <w:t xml:space="preserve">Kadi a </w:t>
      </w:r>
      <w:proofErr w:type="spellStart"/>
      <w:r w:rsidR="00E41EC4" w:rsidRPr="00EC4754">
        <w:rPr>
          <w:rFonts w:ascii="Times New Roman" w:hAnsi="Times New Roman" w:cs="Times New Roman"/>
          <w:i/>
          <w:sz w:val="24"/>
          <w:szCs w:val="24"/>
        </w:rPr>
        <w:t>Al</w:t>
      </w:r>
      <w:proofErr w:type="spellEnd"/>
      <w:r w:rsidR="00E41EC4" w:rsidRPr="00EC4754">
        <w:rPr>
          <w:rFonts w:ascii="Times New Roman" w:hAnsi="Times New Roman" w:cs="Times New Roman"/>
          <w:i/>
          <w:sz w:val="24"/>
          <w:szCs w:val="24"/>
        </w:rPr>
        <w:t xml:space="preserve"> </w:t>
      </w:r>
      <w:proofErr w:type="spellStart"/>
      <w:r w:rsidR="00E41EC4" w:rsidRPr="00EC4754">
        <w:rPr>
          <w:rFonts w:ascii="Times New Roman" w:hAnsi="Times New Roman" w:cs="Times New Roman"/>
          <w:i/>
          <w:sz w:val="24"/>
          <w:szCs w:val="24"/>
        </w:rPr>
        <w:t>Barakaat</w:t>
      </w:r>
      <w:proofErr w:type="spellEnd"/>
      <w:r w:rsidR="00E41EC4" w:rsidRPr="00EC4754">
        <w:rPr>
          <w:rFonts w:ascii="Times New Roman" w:hAnsi="Times New Roman" w:cs="Times New Roman"/>
          <w:i/>
          <w:sz w:val="24"/>
          <w:szCs w:val="24"/>
        </w:rPr>
        <w:t xml:space="preserve"> proti Rade </w:t>
      </w:r>
      <w:r w:rsidR="00E41EC4" w:rsidRPr="00EC4754">
        <w:rPr>
          <w:rFonts w:ascii="Times New Roman" w:hAnsi="Times New Roman" w:cs="Times New Roman"/>
          <w:sz w:val="24"/>
          <w:szCs w:val="24"/>
        </w:rPr>
        <w:t xml:space="preserve">Súdny dvor uviedol, že </w:t>
      </w:r>
      <w:r w:rsidR="00E41EC4" w:rsidRPr="00EC4754">
        <w:rPr>
          <w:rFonts w:ascii="Times New Roman" w:hAnsi="Times New Roman" w:cs="Times New Roman"/>
          <w:b/>
          <w:sz w:val="24"/>
          <w:szCs w:val="24"/>
        </w:rPr>
        <w:t>C</w:t>
      </w:r>
      <w:r w:rsidRPr="00EC4754">
        <w:rPr>
          <w:rFonts w:ascii="Times New Roman" w:hAnsi="Times New Roman" w:cs="Times New Roman"/>
          <w:b/>
          <w:sz w:val="24"/>
          <w:szCs w:val="24"/>
        </w:rPr>
        <w:t xml:space="preserve">harta </w:t>
      </w:r>
      <w:r w:rsidR="00E41EC4" w:rsidRPr="00EC4754">
        <w:rPr>
          <w:rFonts w:ascii="Times New Roman" w:hAnsi="Times New Roman" w:cs="Times New Roman"/>
          <w:b/>
          <w:sz w:val="24"/>
          <w:szCs w:val="24"/>
        </w:rPr>
        <w:t xml:space="preserve">OSN má prednosť </w:t>
      </w:r>
      <w:r w:rsidRPr="00EC4754">
        <w:rPr>
          <w:rFonts w:ascii="Times New Roman" w:hAnsi="Times New Roman" w:cs="Times New Roman"/>
          <w:b/>
          <w:sz w:val="24"/>
          <w:szCs w:val="24"/>
        </w:rPr>
        <w:t>pred sekundárnou právnou úpravou Spoločenstva</w:t>
      </w:r>
      <w:r w:rsidR="00E41EC4" w:rsidRPr="00EC4754">
        <w:rPr>
          <w:rFonts w:ascii="Times New Roman" w:hAnsi="Times New Roman" w:cs="Times New Roman"/>
          <w:sz w:val="24"/>
          <w:szCs w:val="24"/>
        </w:rPr>
        <w:t xml:space="preserve"> (teraz EÚ) </w:t>
      </w:r>
      <w:r w:rsidRPr="00EC4754">
        <w:rPr>
          <w:rFonts w:ascii="Times New Roman" w:hAnsi="Times New Roman" w:cs="Times New Roman"/>
          <w:sz w:val="24"/>
          <w:szCs w:val="24"/>
        </w:rPr>
        <w:t>(</w:t>
      </w:r>
      <w:r w:rsidR="00E41EC4" w:rsidRPr="00EC4754">
        <w:rPr>
          <w:rFonts w:ascii="Times New Roman" w:hAnsi="Times New Roman" w:cs="Times New Roman"/>
          <w:sz w:val="24"/>
          <w:szCs w:val="24"/>
        </w:rPr>
        <w:t xml:space="preserve">bod 307 rozsudku SD veci </w:t>
      </w:r>
      <w:r w:rsidR="00E41EC4" w:rsidRPr="00EC4754">
        <w:rPr>
          <w:rFonts w:ascii="Times New Roman" w:hAnsi="Times New Roman" w:cs="Times New Roman"/>
          <w:i/>
          <w:sz w:val="24"/>
          <w:szCs w:val="24"/>
        </w:rPr>
        <w:t>Kadi</w:t>
      </w:r>
      <w:r w:rsidR="00E41EC4" w:rsidRPr="00EC4754">
        <w:rPr>
          <w:rFonts w:ascii="Times New Roman" w:hAnsi="Times New Roman" w:cs="Times New Roman"/>
          <w:sz w:val="24"/>
          <w:szCs w:val="24"/>
        </w:rPr>
        <w:t xml:space="preserve"> </w:t>
      </w:r>
      <w:r w:rsidR="00E41EC4" w:rsidRPr="00EC4754">
        <w:rPr>
          <w:rFonts w:ascii="Times New Roman" w:hAnsi="Times New Roman" w:cs="Times New Roman"/>
          <w:i/>
          <w:sz w:val="24"/>
          <w:szCs w:val="24"/>
        </w:rPr>
        <w:t xml:space="preserve">a </w:t>
      </w:r>
      <w:proofErr w:type="spellStart"/>
      <w:r w:rsidR="00E41EC4" w:rsidRPr="00EC4754">
        <w:rPr>
          <w:rFonts w:ascii="Times New Roman" w:hAnsi="Times New Roman" w:cs="Times New Roman"/>
          <w:i/>
          <w:sz w:val="24"/>
          <w:szCs w:val="24"/>
        </w:rPr>
        <w:t>Al</w:t>
      </w:r>
      <w:proofErr w:type="spellEnd"/>
      <w:r w:rsidR="00E41EC4" w:rsidRPr="00EC4754">
        <w:rPr>
          <w:rFonts w:ascii="Times New Roman" w:hAnsi="Times New Roman" w:cs="Times New Roman"/>
          <w:i/>
          <w:sz w:val="24"/>
          <w:szCs w:val="24"/>
        </w:rPr>
        <w:t xml:space="preserve"> </w:t>
      </w:r>
      <w:proofErr w:type="spellStart"/>
      <w:r w:rsidR="00E41EC4" w:rsidRPr="00EC4754">
        <w:rPr>
          <w:rFonts w:ascii="Times New Roman" w:hAnsi="Times New Roman" w:cs="Times New Roman"/>
          <w:i/>
          <w:sz w:val="24"/>
          <w:szCs w:val="24"/>
        </w:rPr>
        <w:t>Barakaat</w:t>
      </w:r>
      <w:proofErr w:type="spellEnd"/>
      <w:r w:rsidR="00E41EC4" w:rsidRPr="00EC4754">
        <w:rPr>
          <w:rFonts w:ascii="Times New Roman" w:hAnsi="Times New Roman" w:cs="Times New Roman"/>
          <w:sz w:val="24"/>
          <w:szCs w:val="24"/>
        </w:rPr>
        <w:t xml:space="preserve">; </w:t>
      </w:r>
      <w:r w:rsidRPr="00EC4754">
        <w:rPr>
          <w:rFonts w:ascii="Times New Roman" w:hAnsi="Times New Roman" w:cs="Times New Roman"/>
          <w:sz w:val="24"/>
          <w:szCs w:val="24"/>
        </w:rPr>
        <w:t xml:space="preserve">v tomto zmysle </w:t>
      </w:r>
      <w:r w:rsidR="00E41EC4" w:rsidRPr="00EC4754">
        <w:rPr>
          <w:rFonts w:ascii="Times New Roman" w:hAnsi="Times New Roman" w:cs="Times New Roman"/>
          <w:sz w:val="24"/>
          <w:szCs w:val="24"/>
        </w:rPr>
        <w:t xml:space="preserve">pozri aj </w:t>
      </w:r>
      <w:r w:rsidRPr="00EC4754">
        <w:rPr>
          <w:rFonts w:ascii="Times New Roman" w:hAnsi="Times New Roman" w:cs="Times New Roman"/>
          <w:sz w:val="24"/>
          <w:szCs w:val="24"/>
        </w:rPr>
        <w:t xml:space="preserve">rozsudok z 3. júna 2008, </w:t>
      </w:r>
      <w:proofErr w:type="spellStart"/>
      <w:r w:rsidRPr="00EC4754">
        <w:rPr>
          <w:rFonts w:ascii="Times New Roman" w:hAnsi="Times New Roman" w:cs="Times New Roman"/>
          <w:i/>
          <w:sz w:val="24"/>
          <w:szCs w:val="24"/>
        </w:rPr>
        <w:t>Intertanko</w:t>
      </w:r>
      <w:proofErr w:type="spellEnd"/>
      <w:r w:rsidRPr="00EC4754">
        <w:rPr>
          <w:rFonts w:ascii="Times New Roman" w:hAnsi="Times New Roman" w:cs="Times New Roman"/>
          <w:i/>
          <w:sz w:val="24"/>
          <w:szCs w:val="24"/>
        </w:rPr>
        <w:t xml:space="preserve"> a i</w:t>
      </w:r>
      <w:r w:rsidRPr="00EC4754">
        <w:rPr>
          <w:rFonts w:ascii="Times New Roman" w:hAnsi="Times New Roman" w:cs="Times New Roman"/>
          <w:sz w:val="24"/>
          <w:szCs w:val="24"/>
        </w:rPr>
        <w:t>., C</w:t>
      </w:r>
      <w:r w:rsidRPr="00EC4754">
        <w:rPr>
          <w:rFonts w:ascii="Times New Roman" w:hAnsi="Times New Roman" w:cs="Times New Roman"/>
          <w:sz w:val="24"/>
          <w:szCs w:val="24"/>
        </w:rPr>
        <w:noBreakHyphen/>
        <w:t>308/06, Zb. s. I</w:t>
      </w:r>
      <w:r w:rsidRPr="00EC4754">
        <w:rPr>
          <w:rFonts w:ascii="Times New Roman" w:hAnsi="Times New Roman" w:cs="Times New Roman"/>
          <w:sz w:val="24"/>
          <w:szCs w:val="24"/>
        </w:rPr>
        <w:noBreakHyphen/>
        <w:t>4057, bod 42 a citovanú judikatúru).</w:t>
      </w:r>
      <w:r w:rsidR="00E41EC4" w:rsidRPr="00EC4754">
        <w:rPr>
          <w:rFonts w:ascii="Times New Roman" w:hAnsi="Times New Roman" w:cs="Times New Roman"/>
          <w:sz w:val="24"/>
          <w:szCs w:val="24"/>
        </w:rPr>
        <w:t xml:space="preserve"> Podľa Súdneho dvora sa </w:t>
      </w:r>
      <w:r w:rsidRPr="00EC4754">
        <w:rPr>
          <w:rFonts w:ascii="Times New Roman" w:hAnsi="Times New Roman" w:cs="Times New Roman"/>
          <w:sz w:val="24"/>
          <w:szCs w:val="24"/>
        </w:rPr>
        <w:t>však</w:t>
      </w:r>
      <w:r w:rsidR="00E41EC4" w:rsidRPr="00EC4754">
        <w:rPr>
          <w:rFonts w:ascii="Times New Roman" w:hAnsi="Times New Roman" w:cs="Times New Roman"/>
          <w:sz w:val="24"/>
          <w:szCs w:val="24"/>
        </w:rPr>
        <w:t xml:space="preserve"> táto </w:t>
      </w:r>
      <w:r w:rsidR="00E41EC4" w:rsidRPr="00EC4754">
        <w:rPr>
          <w:rFonts w:ascii="Times New Roman" w:hAnsi="Times New Roman" w:cs="Times New Roman"/>
          <w:b/>
          <w:sz w:val="24"/>
          <w:szCs w:val="24"/>
        </w:rPr>
        <w:t xml:space="preserve">prednosť Charty OSN </w:t>
      </w:r>
      <w:r w:rsidRPr="00EC4754">
        <w:rPr>
          <w:rFonts w:ascii="Times New Roman" w:hAnsi="Times New Roman" w:cs="Times New Roman"/>
          <w:b/>
          <w:sz w:val="24"/>
          <w:szCs w:val="24"/>
        </w:rPr>
        <w:t>na úrovni práva Spoločenstva nerozširuje na primárne právo a osobitne na všeobecné zásady</w:t>
      </w:r>
      <w:r w:rsidRPr="00EC4754">
        <w:rPr>
          <w:rFonts w:ascii="Times New Roman" w:hAnsi="Times New Roman" w:cs="Times New Roman"/>
          <w:sz w:val="24"/>
          <w:szCs w:val="24"/>
        </w:rPr>
        <w:t>, medzi ktoré patria základné práva.</w:t>
      </w:r>
      <w:r w:rsidR="00E41EC4" w:rsidRPr="00EC4754">
        <w:rPr>
          <w:rFonts w:ascii="Times New Roman" w:hAnsi="Times New Roman" w:cs="Times New Roman"/>
          <w:sz w:val="24"/>
          <w:szCs w:val="24"/>
        </w:rPr>
        <w:t xml:space="preserve"> (bod 308, rozsudku SD vo veci </w:t>
      </w:r>
      <w:r w:rsidR="00E41EC4" w:rsidRPr="00EC4754">
        <w:rPr>
          <w:rFonts w:ascii="Times New Roman" w:hAnsi="Times New Roman" w:cs="Times New Roman"/>
          <w:i/>
          <w:sz w:val="24"/>
          <w:szCs w:val="24"/>
        </w:rPr>
        <w:t xml:space="preserve">Kadi a </w:t>
      </w:r>
      <w:proofErr w:type="spellStart"/>
      <w:r w:rsidR="00E41EC4" w:rsidRPr="00EC4754">
        <w:rPr>
          <w:rFonts w:ascii="Times New Roman" w:hAnsi="Times New Roman" w:cs="Times New Roman"/>
          <w:i/>
          <w:sz w:val="24"/>
          <w:szCs w:val="24"/>
        </w:rPr>
        <w:t>Al</w:t>
      </w:r>
      <w:proofErr w:type="spellEnd"/>
      <w:r w:rsidR="00E41EC4" w:rsidRPr="00EC4754">
        <w:rPr>
          <w:rFonts w:ascii="Times New Roman" w:hAnsi="Times New Roman" w:cs="Times New Roman"/>
          <w:i/>
          <w:sz w:val="24"/>
          <w:szCs w:val="24"/>
        </w:rPr>
        <w:t xml:space="preserve"> </w:t>
      </w:r>
      <w:proofErr w:type="spellStart"/>
      <w:r w:rsidR="00E41EC4" w:rsidRPr="00EC4754">
        <w:rPr>
          <w:rFonts w:ascii="Times New Roman" w:hAnsi="Times New Roman" w:cs="Times New Roman"/>
          <w:i/>
          <w:sz w:val="24"/>
          <w:szCs w:val="24"/>
        </w:rPr>
        <w:t>Barakaat</w:t>
      </w:r>
      <w:proofErr w:type="spellEnd"/>
      <w:r w:rsidR="00E41EC4" w:rsidRPr="00EC4754">
        <w:rPr>
          <w:rFonts w:ascii="Times New Roman" w:hAnsi="Times New Roman" w:cs="Times New Roman"/>
          <w:sz w:val="24"/>
          <w:szCs w:val="24"/>
        </w:rPr>
        <w:t xml:space="preserve">. Takýto záver </w:t>
      </w:r>
      <w:r w:rsidR="00C40B95" w:rsidRPr="00EC4754">
        <w:rPr>
          <w:rFonts w:ascii="Times New Roman" w:hAnsi="Times New Roman" w:cs="Times New Roman"/>
          <w:sz w:val="24"/>
          <w:szCs w:val="24"/>
        </w:rPr>
        <w:t>vyplýva z </w:t>
      </w:r>
      <w:r w:rsidRPr="00EC4754">
        <w:rPr>
          <w:rFonts w:ascii="Times New Roman" w:hAnsi="Times New Roman" w:cs="Times New Roman"/>
          <w:sz w:val="24"/>
          <w:szCs w:val="24"/>
        </w:rPr>
        <w:t>odsek</w:t>
      </w:r>
      <w:r w:rsidR="00C40B95" w:rsidRPr="00EC4754">
        <w:rPr>
          <w:rFonts w:ascii="Times New Roman" w:hAnsi="Times New Roman" w:cs="Times New Roman"/>
          <w:sz w:val="24"/>
          <w:szCs w:val="24"/>
        </w:rPr>
        <w:t xml:space="preserve">u </w:t>
      </w:r>
      <w:r w:rsidRPr="00EC4754">
        <w:rPr>
          <w:rFonts w:ascii="Times New Roman" w:hAnsi="Times New Roman" w:cs="Times New Roman"/>
          <w:sz w:val="24"/>
          <w:szCs w:val="24"/>
        </w:rPr>
        <w:t>6 článku 300 </w:t>
      </w:r>
      <w:r w:rsidR="00C40B95" w:rsidRPr="00EC4754">
        <w:rPr>
          <w:rFonts w:ascii="Times New Roman" w:hAnsi="Times New Roman" w:cs="Times New Roman"/>
          <w:sz w:val="24"/>
          <w:szCs w:val="24"/>
        </w:rPr>
        <w:t>Z</w:t>
      </w:r>
      <w:r w:rsidRPr="00EC4754">
        <w:rPr>
          <w:rFonts w:ascii="Times New Roman" w:hAnsi="Times New Roman" w:cs="Times New Roman"/>
          <w:sz w:val="24"/>
          <w:szCs w:val="24"/>
        </w:rPr>
        <w:t>ES</w:t>
      </w:r>
      <w:r w:rsidR="00C40B95" w:rsidRPr="00EC4754">
        <w:rPr>
          <w:rFonts w:ascii="Times New Roman" w:hAnsi="Times New Roman" w:cs="Times New Roman"/>
          <w:sz w:val="24"/>
          <w:szCs w:val="24"/>
        </w:rPr>
        <w:t xml:space="preserve"> (teraz čl. 218 ods. 11 ZFEÚ)</w:t>
      </w:r>
      <w:r w:rsidRPr="00EC4754">
        <w:rPr>
          <w:rFonts w:ascii="Times New Roman" w:hAnsi="Times New Roman" w:cs="Times New Roman"/>
          <w:sz w:val="24"/>
          <w:szCs w:val="24"/>
        </w:rPr>
        <w:t xml:space="preserve">, podľa ktorého medzinárodná dohoda nemôže nadobudnúť platnosť, ak Súdny dvor vydal zamietavé stanovisko o jej zlučiteľnosti so Zmluvou </w:t>
      </w:r>
      <w:r w:rsidR="00C40B95" w:rsidRPr="00EC4754">
        <w:rPr>
          <w:rFonts w:ascii="Times New Roman" w:hAnsi="Times New Roman" w:cs="Times New Roman"/>
          <w:sz w:val="24"/>
          <w:szCs w:val="24"/>
        </w:rPr>
        <w:t xml:space="preserve">o založení </w:t>
      </w:r>
      <w:r w:rsidRPr="00EC4754">
        <w:rPr>
          <w:rFonts w:ascii="Times New Roman" w:hAnsi="Times New Roman" w:cs="Times New Roman"/>
          <w:sz w:val="24"/>
          <w:szCs w:val="24"/>
        </w:rPr>
        <w:t>ES</w:t>
      </w:r>
      <w:r w:rsidR="00C40B95" w:rsidRPr="00EC4754">
        <w:rPr>
          <w:rFonts w:ascii="Times New Roman" w:hAnsi="Times New Roman" w:cs="Times New Roman"/>
          <w:sz w:val="24"/>
          <w:szCs w:val="24"/>
        </w:rPr>
        <w:t xml:space="preserve"> (teraz ZFEÚ)</w:t>
      </w:r>
      <w:r w:rsidRPr="00EC4754">
        <w:rPr>
          <w:rFonts w:ascii="Times New Roman" w:hAnsi="Times New Roman" w:cs="Times New Roman"/>
          <w:sz w:val="24"/>
          <w:szCs w:val="24"/>
        </w:rPr>
        <w:t>, prinajmenšom vtedy, ak táto zmluva nebola predtým zmenená</w:t>
      </w:r>
      <w:r w:rsidR="00C40B95" w:rsidRPr="00EC4754">
        <w:rPr>
          <w:rFonts w:ascii="Times New Roman" w:hAnsi="Times New Roman" w:cs="Times New Roman"/>
          <w:sz w:val="24"/>
          <w:szCs w:val="24"/>
        </w:rPr>
        <w:t xml:space="preserve"> (bod 309 rozsudku SD veci </w:t>
      </w:r>
      <w:r w:rsidR="00C40B95" w:rsidRPr="00EC4754">
        <w:rPr>
          <w:rFonts w:ascii="Times New Roman" w:hAnsi="Times New Roman" w:cs="Times New Roman"/>
          <w:i/>
          <w:sz w:val="24"/>
          <w:szCs w:val="24"/>
        </w:rPr>
        <w:t>Kadi</w:t>
      </w:r>
      <w:r w:rsidR="00C40B95" w:rsidRPr="00EC4754">
        <w:rPr>
          <w:rFonts w:ascii="Times New Roman" w:hAnsi="Times New Roman" w:cs="Times New Roman"/>
          <w:sz w:val="24"/>
          <w:szCs w:val="24"/>
        </w:rPr>
        <w:t xml:space="preserve"> </w:t>
      </w:r>
      <w:r w:rsidR="00C40B95" w:rsidRPr="00EC4754">
        <w:rPr>
          <w:rFonts w:ascii="Times New Roman" w:hAnsi="Times New Roman" w:cs="Times New Roman"/>
          <w:i/>
          <w:sz w:val="24"/>
          <w:szCs w:val="24"/>
        </w:rPr>
        <w:t xml:space="preserve">a </w:t>
      </w:r>
      <w:proofErr w:type="spellStart"/>
      <w:r w:rsidR="00C40B95" w:rsidRPr="00EC4754">
        <w:rPr>
          <w:rFonts w:ascii="Times New Roman" w:hAnsi="Times New Roman" w:cs="Times New Roman"/>
          <w:i/>
          <w:sz w:val="24"/>
          <w:szCs w:val="24"/>
        </w:rPr>
        <w:t>Al</w:t>
      </w:r>
      <w:proofErr w:type="spellEnd"/>
      <w:r w:rsidR="00C40B95" w:rsidRPr="00EC4754">
        <w:rPr>
          <w:rFonts w:ascii="Times New Roman" w:hAnsi="Times New Roman" w:cs="Times New Roman"/>
          <w:i/>
          <w:sz w:val="24"/>
          <w:szCs w:val="24"/>
        </w:rPr>
        <w:t xml:space="preserve"> </w:t>
      </w:r>
      <w:proofErr w:type="spellStart"/>
      <w:r w:rsidR="00C40B95" w:rsidRPr="00EC4754">
        <w:rPr>
          <w:rFonts w:ascii="Times New Roman" w:hAnsi="Times New Roman" w:cs="Times New Roman"/>
          <w:i/>
          <w:sz w:val="24"/>
          <w:szCs w:val="24"/>
        </w:rPr>
        <w:t>Barakaat</w:t>
      </w:r>
      <w:proofErr w:type="spellEnd"/>
      <w:r w:rsidR="00C40B95" w:rsidRPr="00EC4754">
        <w:rPr>
          <w:rFonts w:ascii="Times New Roman" w:hAnsi="Times New Roman" w:cs="Times New Roman"/>
          <w:sz w:val="24"/>
          <w:szCs w:val="24"/>
        </w:rPr>
        <w:t>)</w:t>
      </w:r>
      <w:r w:rsidRPr="00EC4754">
        <w:rPr>
          <w:rFonts w:ascii="Times New Roman" w:hAnsi="Times New Roman" w:cs="Times New Roman"/>
          <w:sz w:val="24"/>
          <w:szCs w:val="24"/>
        </w:rPr>
        <w:t>.</w:t>
      </w:r>
    </w:p>
    <w:p w:rsidR="00E95CD0" w:rsidRPr="00E95CD0" w:rsidRDefault="00467C62" w:rsidP="00EC4754">
      <w:pPr>
        <w:ind w:firstLine="567"/>
        <w:jc w:val="both"/>
        <w:rPr>
          <w:rFonts w:ascii="Times New Roman" w:hAnsi="Times New Roman" w:cs="Times New Roman"/>
          <w:b/>
          <w:i/>
          <w:sz w:val="24"/>
          <w:szCs w:val="24"/>
        </w:rPr>
      </w:pPr>
      <w:r>
        <w:rPr>
          <w:rFonts w:ascii="Times New Roman" w:hAnsi="Times New Roman" w:cs="Times New Roman"/>
          <w:b/>
          <w:i/>
          <w:sz w:val="24"/>
          <w:szCs w:val="24"/>
        </w:rPr>
        <w:t xml:space="preserve">III.1. </w:t>
      </w:r>
      <w:r w:rsidR="00E95CD0" w:rsidRPr="00E95CD0">
        <w:rPr>
          <w:rFonts w:ascii="Times New Roman" w:hAnsi="Times New Roman" w:cs="Times New Roman"/>
          <w:b/>
          <w:i/>
          <w:sz w:val="24"/>
          <w:szCs w:val="24"/>
        </w:rPr>
        <w:t>K posudzovaniu platnosti sekundárneho práva Únie s ohľadom na medzinárodné verejné právo:</w:t>
      </w:r>
    </w:p>
    <w:p w:rsidR="00EC4754" w:rsidRDefault="00C40B95" w:rsidP="00EC4754">
      <w:pPr>
        <w:ind w:firstLine="708"/>
        <w:jc w:val="both"/>
        <w:rPr>
          <w:rFonts w:ascii="Times New Roman" w:hAnsi="Times New Roman" w:cs="Times New Roman"/>
          <w:sz w:val="24"/>
          <w:szCs w:val="24"/>
        </w:rPr>
      </w:pPr>
      <w:r w:rsidRPr="00C40B95">
        <w:rPr>
          <w:rFonts w:ascii="Times New Roman" w:hAnsi="Times New Roman" w:cs="Times New Roman"/>
          <w:sz w:val="24"/>
          <w:szCs w:val="24"/>
        </w:rPr>
        <w:lastRenderedPageBreak/>
        <w:t>V</w:t>
      </w:r>
      <w:r w:rsidR="001C4676" w:rsidRPr="00C40B95">
        <w:rPr>
          <w:rFonts w:ascii="Times New Roman" w:hAnsi="Times New Roman" w:cs="Times New Roman"/>
          <w:sz w:val="24"/>
          <w:szCs w:val="24"/>
        </w:rPr>
        <w:t xml:space="preserve"> rozsudku </w:t>
      </w:r>
      <w:r w:rsidRPr="00C40B95">
        <w:rPr>
          <w:rFonts w:ascii="Times New Roman" w:hAnsi="Times New Roman" w:cs="Times New Roman"/>
          <w:sz w:val="24"/>
          <w:szCs w:val="24"/>
        </w:rPr>
        <w:t>vo veci C-366/10</w:t>
      </w:r>
      <w:r w:rsidR="00EC4754">
        <w:rPr>
          <w:rFonts w:ascii="Times New Roman" w:hAnsi="Times New Roman" w:cs="Times New Roman"/>
          <w:sz w:val="24"/>
          <w:szCs w:val="24"/>
        </w:rPr>
        <w:t xml:space="preserve"> </w:t>
      </w:r>
      <w:proofErr w:type="spellStart"/>
      <w:r w:rsidR="00EC4754" w:rsidRPr="00EC4754">
        <w:rPr>
          <w:rFonts w:ascii="Times New Roman" w:hAnsi="Times New Roman" w:cs="Times New Roman"/>
          <w:i/>
          <w:sz w:val="24"/>
          <w:szCs w:val="24"/>
        </w:rPr>
        <w:t>Air</w:t>
      </w:r>
      <w:proofErr w:type="spellEnd"/>
      <w:r w:rsidR="00EC4754" w:rsidRPr="00EC4754">
        <w:rPr>
          <w:rFonts w:ascii="Times New Roman" w:hAnsi="Times New Roman" w:cs="Times New Roman"/>
          <w:i/>
          <w:sz w:val="24"/>
          <w:szCs w:val="24"/>
        </w:rPr>
        <w:t xml:space="preserve"> Transport </w:t>
      </w:r>
      <w:proofErr w:type="spellStart"/>
      <w:r w:rsidR="00EC4754" w:rsidRPr="00EC4754">
        <w:rPr>
          <w:rFonts w:ascii="Times New Roman" w:hAnsi="Times New Roman" w:cs="Times New Roman"/>
          <w:i/>
          <w:sz w:val="24"/>
          <w:szCs w:val="24"/>
        </w:rPr>
        <w:t>Association</w:t>
      </w:r>
      <w:proofErr w:type="spellEnd"/>
      <w:r w:rsidR="00EC4754" w:rsidRPr="00EC4754">
        <w:rPr>
          <w:rFonts w:ascii="Times New Roman" w:hAnsi="Times New Roman" w:cs="Times New Roman"/>
          <w:i/>
          <w:sz w:val="24"/>
          <w:szCs w:val="24"/>
        </w:rPr>
        <w:t xml:space="preserve"> </w:t>
      </w:r>
      <w:proofErr w:type="spellStart"/>
      <w:r w:rsidR="00EC4754" w:rsidRPr="00EC4754">
        <w:rPr>
          <w:rFonts w:ascii="Times New Roman" w:hAnsi="Times New Roman" w:cs="Times New Roman"/>
          <w:i/>
          <w:sz w:val="24"/>
          <w:szCs w:val="24"/>
        </w:rPr>
        <w:t>of</w:t>
      </w:r>
      <w:proofErr w:type="spellEnd"/>
      <w:r w:rsidR="00EC4754" w:rsidRPr="00EC4754">
        <w:rPr>
          <w:rFonts w:ascii="Times New Roman" w:hAnsi="Times New Roman" w:cs="Times New Roman"/>
          <w:i/>
          <w:sz w:val="24"/>
          <w:szCs w:val="24"/>
        </w:rPr>
        <w:t xml:space="preserve"> </w:t>
      </w:r>
      <w:proofErr w:type="spellStart"/>
      <w:r w:rsidR="00EC4754" w:rsidRPr="00EC4754">
        <w:rPr>
          <w:rFonts w:ascii="Times New Roman" w:hAnsi="Times New Roman" w:cs="Times New Roman"/>
          <w:i/>
          <w:sz w:val="24"/>
          <w:szCs w:val="24"/>
        </w:rPr>
        <w:t>America</w:t>
      </w:r>
      <w:proofErr w:type="spellEnd"/>
      <w:r w:rsidR="00EC4754" w:rsidRPr="00EC4754">
        <w:rPr>
          <w:rFonts w:ascii="Times New Roman" w:hAnsi="Times New Roman" w:cs="Times New Roman"/>
          <w:i/>
          <w:sz w:val="24"/>
          <w:szCs w:val="24"/>
        </w:rPr>
        <w:t xml:space="preserve"> a iní </w:t>
      </w:r>
      <w:r w:rsidRPr="00C40B95">
        <w:rPr>
          <w:rFonts w:ascii="Times New Roman" w:hAnsi="Times New Roman" w:cs="Times New Roman"/>
          <w:sz w:val="24"/>
          <w:szCs w:val="24"/>
        </w:rPr>
        <w:t xml:space="preserve"> Súdny dvor zdôraznil, že </w:t>
      </w:r>
      <w:r w:rsidR="001C4676" w:rsidRPr="00C40B95">
        <w:rPr>
          <w:rFonts w:ascii="Times New Roman" w:hAnsi="Times New Roman" w:cs="Times New Roman"/>
          <w:sz w:val="24"/>
          <w:szCs w:val="24"/>
        </w:rPr>
        <w:t>med</w:t>
      </w:r>
      <w:r w:rsidRPr="00C40B95">
        <w:rPr>
          <w:rFonts w:ascii="Times New Roman" w:hAnsi="Times New Roman" w:cs="Times New Roman"/>
          <w:sz w:val="24"/>
          <w:szCs w:val="24"/>
        </w:rPr>
        <w:t>zinárodné dohody uzavreté Úniou</w:t>
      </w:r>
      <w:r w:rsidR="001C4676" w:rsidRPr="00C40B95">
        <w:rPr>
          <w:rFonts w:ascii="Times New Roman" w:hAnsi="Times New Roman" w:cs="Times New Roman"/>
          <w:sz w:val="24"/>
          <w:szCs w:val="24"/>
        </w:rPr>
        <w:t xml:space="preserve"> sú podľa článku 216 ods. 2 ZFEÚ pre inštitúcie Únie záväzné a majú preto prednosť pred aktmi Únie (</w:t>
      </w:r>
      <w:r w:rsidRPr="00C40B95">
        <w:rPr>
          <w:rFonts w:ascii="Times New Roman" w:hAnsi="Times New Roman" w:cs="Times New Roman"/>
          <w:sz w:val="24"/>
          <w:szCs w:val="24"/>
        </w:rPr>
        <w:t xml:space="preserve">bod 50 rozsudku SD vo veci C-366/10; </w:t>
      </w:r>
      <w:r w:rsidR="001C4676" w:rsidRPr="00C40B95">
        <w:rPr>
          <w:rFonts w:ascii="Times New Roman" w:hAnsi="Times New Roman" w:cs="Times New Roman"/>
          <w:sz w:val="24"/>
          <w:szCs w:val="24"/>
        </w:rPr>
        <w:t xml:space="preserve">pozri v tomto zmysle </w:t>
      </w:r>
      <w:r w:rsidRPr="00C40B95">
        <w:rPr>
          <w:rFonts w:ascii="Times New Roman" w:hAnsi="Times New Roman" w:cs="Times New Roman"/>
          <w:sz w:val="24"/>
          <w:szCs w:val="24"/>
        </w:rPr>
        <w:t xml:space="preserve">aj </w:t>
      </w:r>
      <w:r w:rsidR="001C4676" w:rsidRPr="00C40B95">
        <w:rPr>
          <w:rFonts w:ascii="Times New Roman" w:hAnsi="Times New Roman" w:cs="Times New Roman"/>
          <w:sz w:val="24"/>
          <w:szCs w:val="24"/>
        </w:rPr>
        <w:t>rozsudky z 10. septembra 1996, Komisia/Nemecko, C</w:t>
      </w:r>
      <w:r w:rsidR="001C4676" w:rsidRPr="00C40B95">
        <w:rPr>
          <w:rFonts w:ascii="Times New Roman" w:hAnsi="Times New Roman" w:cs="Times New Roman"/>
          <w:sz w:val="24"/>
          <w:szCs w:val="24"/>
        </w:rPr>
        <w:noBreakHyphen/>
        <w:t>61/94, Zb. s. I</w:t>
      </w:r>
      <w:r w:rsidR="001C4676" w:rsidRPr="00C40B95">
        <w:rPr>
          <w:rFonts w:ascii="Times New Roman" w:hAnsi="Times New Roman" w:cs="Times New Roman"/>
          <w:sz w:val="24"/>
          <w:szCs w:val="24"/>
        </w:rPr>
        <w:noBreakHyphen/>
        <w:t xml:space="preserve">3989, bod 52; z 12. januára 2006, </w:t>
      </w:r>
      <w:proofErr w:type="spellStart"/>
      <w:r w:rsidR="001C4676" w:rsidRPr="00C40B95">
        <w:rPr>
          <w:rFonts w:ascii="Times New Roman" w:hAnsi="Times New Roman" w:cs="Times New Roman"/>
          <w:sz w:val="24"/>
          <w:szCs w:val="24"/>
        </w:rPr>
        <w:t>Algemene</w:t>
      </w:r>
      <w:proofErr w:type="spellEnd"/>
      <w:r w:rsidR="001C4676" w:rsidRPr="00C40B95">
        <w:rPr>
          <w:rFonts w:ascii="Times New Roman" w:hAnsi="Times New Roman" w:cs="Times New Roman"/>
          <w:sz w:val="24"/>
          <w:szCs w:val="24"/>
        </w:rPr>
        <w:t xml:space="preserve"> </w:t>
      </w:r>
      <w:proofErr w:type="spellStart"/>
      <w:r w:rsidR="001C4676" w:rsidRPr="00C40B95">
        <w:rPr>
          <w:rFonts w:ascii="Times New Roman" w:hAnsi="Times New Roman" w:cs="Times New Roman"/>
          <w:sz w:val="24"/>
          <w:szCs w:val="24"/>
        </w:rPr>
        <w:t>Scheeps</w:t>
      </w:r>
      <w:proofErr w:type="spellEnd"/>
      <w:r w:rsidR="001C4676" w:rsidRPr="00C40B95">
        <w:rPr>
          <w:rFonts w:ascii="Times New Roman" w:hAnsi="Times New Roman" w:cs="Times New Roman"/>
          <w:sz w:val="24"/>
          <w:szCs w:val="24"/>
        </w:rPr>
        <w:t xml:space="preserve"> </w:t>
      </w:r>
      <w:proofErr w:type="spellStart"/>
      <w:r w:rsidR="001C4676" w:rsidRPr="00C40B95">
        <w:rPr>
          <w:rFonts w:ascii="Times New Roman" w:hAnsi="Times New Roman" w:cs="Times New Roman"/>
          <w:sz w:val="24"/>
          <w:szCs w:val="24"/>
        </w:rPr>
        <w:t>Agentuur</w:t>
      </w:r>
      <w:proofErr w:type="spellEnd"/>
      <w:r w:rsidR="001C4676" w:rsidRPr="00C40B95">
        <w:rPr>
          <w:rFonts w:ascii="Times New Roman" w:hAnsi="Times New Roman" w:cs="Times New Roman"/>
          <w:sz w:val="24"/>
          <w:szCs w:val="24"/>
        </w:rPr>
        <w:t xml:space="preserve"> </w:t>
      </w:r>
      <w:proofErr w:type="spellStart"/>
      <w:r w:rsidR="001C4676" w:rsidRPr="00C40B95">
        <w:rPr>
          <w:rFonts w:ascii="Times New Roman" w:hAnsi="Times New Roman" w:cs="Times New Roman"/>
          <w:sz w:val="24"/>
          <w:szCs w:val="24"/>
        </w:rPr>
        <w:t>Dordrecht</w:t>
      </w:r>
      <w:proofErr w:type="spellEnd"/>
      <w:r w:rsidR="001C4676" w:rsidRPr="00C40B95">
        <w:rPr>
          <w:rFonts w:ascii="Times New Roman" w:hAnsi="Times New Roman" w:cs="Times New Roman"/>
          <w:sz w:val="24"/>
          <w:szCs w:val="24"/>
        </w:rPr>
        <w:t>, C</w:t>
      </w:r>
      <w:r w:rsidR="001C4676" w:rsidRPr="00C40B95">
        <w:rPr>
          <w:rFonts w:ascii="Times New Roman" w:hAnsi="Times New Roman" w:cs="Times New Roman"/>
          <w:sz w:val="24"/>
          <w:szCs w:val="24"/>
        </w:rPr>
        <w:noBreakHyphen/>
        <w:t>311/04, Zb. s. I</w:t>
      </w:r>
      <w:r w:rsidR="001C4676" w:rsidRPr="00C40B95">
        <w:rPr>
          <w:rFonts w:ascii="Times New Roman" w:hAnsi="Times New Roman" w:cs="Times New Roman"/>
          <w:sz w:val="24"/>
          <w:szCs w:val="24"/>
        </w:rPr>
        <w:noBreakHyphen/>
        <w:t xml:space="preserve">609, bod 25; z 3. júna 2008, </w:t>
      </w:r>
      <w:proofErr w:type="spellStart"/>
      <w:r w:rsidR="001C4676" w:rsidRPr="00C40B95">
        <w:rPr>
          <w:rFonts w:ascii="Times New Roman" w:hAnsi="Times New Roman" w:cs="Times New Roman"/>
          <w:sz w:val="24"/>
          <w:szCs w:val="24"/>
        </w:rPr>
        <w:t>Intertanko</w:t>
      </w:r>
      <w:proofErr w:type="spellEnd"/>
      <w:r w:rsidR="001C4676" w:rsidRPr="00C40B95">
        <w:rPr>
          <w:rFonts w:ascii="Times New Roman" w:hAnsi="Times New Roman" w:cs="Times New Roman"/>
          <w:sz w:val="24"/>
          <w:szCs w:val="24"/>
        </w:rPr>
        <w:t xml:space="preserve"> a i., C</w:t>
      </w:r>
      <w:r w:rsidR="001C4676" w:rsidRPr="00C40B95">
        <w:rPr>
          <w:rFonts w:ascii="Times New Roman" w:hAnsi="Times New Roman" w:cs="Times New Roman"/>
          <w:sz w:val="24"/>
          <w:szCs w:val="24"/>
        </w:rPr>
        <w:noBreakHyphen/>
        <w:t>308/06, Zb. s. I</w:t>
      </w:r>
      <w:r w:rsidR="001C4676" w:rsidRPr="00C40B95">
        <w:rPr>
          <w:rFonts w:ascii="Times New Roman" w:hAnsi="Times New Roman" w:cs="Times New Roman"/>
          <w:sz w:val="24"/>
          <w:szCs w:val="24"/>
        </w:rPr>
        <w:noBreakHyphen/>
        <w:t>4057, bod 42, ako aj z 3. septembra 2008, Kadi a </w:t>
      </w:r>
      <w:proofErr w:type="spellStart"/>
      <w:r w:rsidR="001C4676" w:rsidRPr="00C40B95">
        <w:rPr>
          <w:rFonts w:ascii="Times New Roman" w:hAnsi="Times New Roman" w:cs="Times New Roman"/>
          <w:sz w:val="24"/>
          <w:szCs w:val="24"/>
        </w:rPr>
        <w:t>Al</w:t>
      </w:r>
      <w:proofErr w:type="spellEnd"/>
      <w:r w:rsidR="001C4676" w:rsidRPr="00C40B95">
        <w:rPr>
          <w:rFonts w:ascii="Times New Roman" w:hAnsi="Times New Roman" w:cs="Times New Roman"/>
          <w:sz w:val="24"/>
          <w:szCs w:val="24"/>
        </w:rPr>
        <w:t xml:space="preserve"> </w:t>
      </w:r>
      <w:proofErr w:type="spellStart"/>
      <w:r w:rsidR="001C4676" w:rsidRPr="00C40B95">
        <w:rPr>
          <w:rFonts w:ascii="Times New Roman" w:hAnsi="Times New Roman" w:cs="Times New Roman"/>
          <w:sz w:val="24"/>
          <w:szCs w:val="24"/>
        </w:rPr>
        <w:t>Barakaat</w:t>
      </w:r>
      <w:proofErr w:type="spellEnd"/>
      <w:r w:rsidR="001C4676" w:rsidRPr="00C40B95">
        <w:rPr>
          <w:rFonts w:ascii="Times New Roman" w:hAnsi="Times New Roman" w:cs="Times New Roman"/>
          <w:sz w:val="24"/>
          <w:szCs w:val="24"/>
        </w:rPr>
        <w:t xml:space="preserve"> </w:t>
      </w:r>
      <w:proofErr w:type="spellStart"/>
      <w:r w:rsidR="001C4676" w:rsidRPr="00C40B95">
        <w:rPr>
          <w:rFonts w:ascii="Times New Roman" w:hAnsi="Times New Roman" w:cs="Times New Roman"/>
          <w:sz w:val="24"/>
          <w:szCs w:val="24"/>
        </w:rPr>
        <w:t>International</w:t>
      </w:r>
      <w:proofErr w:type="spellEnd"/>
      <w:r w:rsidR="001C4676" w:rsidRPr="00C40B95">
        <w:rPr>
          <w:rFonts w:ascii="Times New Roman" w:hAnsi="Times New Roman" w:cs="Times New Roman"/>
          <w:sz w:val="24"/>
          <w:szCs w:val="24"/>
        </w:rPr>
        <w:t xml:space="preserve"> </w:t>
      </w:r>
      <w:proofErr w:type="spellStart"/>
      <w:r w:rsidR="001C4676" w:rsidRPr="00C40B95">
        <w:rPr>
          <w:rFonts w:ascii="Times New Roman" w:hAnsi="Times New Roman" w:cs="Times New Roman"/>
          <w:sz w:val="24"/>
          <w:szCs w:val="24"/>
        </w:rPr>
        <w:t>Foundation</w:t>
      </w:r>
      <w:proofErr w:type="spellEnd"/>
      <w:r w:rsidR="001C4676" w:rsidRPr="00C40B95">
        <w:rPr>
          <w:rFonts w:ascii="Times New Roman" w:hAnsi="Times New Roman" w:cs="Times New Roman"/>
          <w:sz w:val="24"/>
          <w:szCs w:val="24"/>
        </w:rPr>
        <w:t>/Rada a Komisia, C</w:t>
      </w:r>
      <w:r w:rsidR="001C4676" w:rsidRPr="00C40B95">
        <w:rPr>
          <w:rFonts w:ascii="Times New Roman" w:hAnsi="Times New Roman" w:cs="Times New Roman"/>
          <w:sz w:val="24"/>
          <w:szCs w:val="24"/>
        </w:rPr>
        <w:noBreakHyphen/>
        <w:t>402/05 P a C</w:t>
      </w:r>
      <w:r w:rsidR="001C4676" w:rsidRPr="00C40B95">
        <w:rPr>
          <w:rFonts w:ascii="Times New Roman" w:hAnsi="Times New Roman" w:cs="Times New Roman"/>
          <w:sz w:val="24"/>
          <w:szCs w:val="24"/>
        </w:rPr>
        <w:noBreakHyphen/>
        <w:t>415/05 P, Zb. s. I</w:t>
      </w:r>
      <w:r w:rsidR="001C4676" w:rsidRPr="00C40B95">
        <w:rPr>
          <w:rFonts w:ascii="Times New Roman" w:hAnsi="Times New Roman" w:cs="Times New Roman"/>
          <w:sz w:val="24"/>
          <w:szCs w:val="24"/>
        </w:rPr>
        <w:noBreakHyphen/>
        <w:t>6351, bod 307).</w:t>
      </w:r>
      <w:r w:rsidRPr="00C40B95">
        <w:rPr>
          <w:rFonts w:ascii="Times New Roman" w:hAnsi="Times New Roman" w:cs="Times New Roman"/>
          <w:sz w:val="24"/>
          <w:szCs w:val="24"/>
        </w:rPr>
        <w:t xml:space="preserve"> </w:t>
      </w:r>
      <w:r w:rsidR="001C4676" w:rsidRPr="00C40B95">
        <w:rPr>
          <w:rFonts w:ascii="Times New Roman" w:hAnsi="Times New Roman" w:cs="Times New Roman"/>
          <w:sz w:val="24"/>
          <w:szCs w:val="24"/>
        </w:rPr>
        <w:t xml:space="preserve">Z toho vyplýva, že </w:t>
      </w:r>
      <w:r w:rsidR="001C4676" w:rsidRPr="00EC4754">
        <w:rPr>
          <w:rFonts w:ascii="Times New Roman" w:hAnsi="Times New Roman" w:cs="Times New Roman"/>
          <w:b/>
          <w:sz w:val="24"/>
          <w:szCs w:val="24"/>
        </w:rPr>
        <w:t>platnosť aktu Únie môže byť dotknutá nezlučiteľnosťou tohto aktu s takými predpismi medzinárodného práva</w:t>
      </w:r>
      <w:r w:rsidR="001C4676" w:rsidRPr="00C40B95">
        <w:rPr>
          <w:rFonts w:ascii="Times New Roman" w:hAnsi="Times New Roman" w:cs="Times New Roman"/>
          <w:sz w:val="24"/>
          <w:szCs w:val="24"/>
        </w:rPr>
        <w:t xml:space="preserve">. </w:t>
      </w:r>
      <w:r w:rsidRPr="00C40B95">
        <w:rPr>
          <w:rFonts w:ascii="Times New Roman" w:hAnsi="Times New Roman" w:cs="Times New Roman"/>
          <w:sz w:val="24"/>
          <w:szCs w:val="24"/>
        </w:rPr>
        <w:t>„</w:t>
      </w:r>
      <w:r w:rsidR="001C4676" w:rsidRPr="00C40B95">
        <w:rPr>
          <w:rFonts w:ascii="Times New Roman" w:hAnsi="Times New Roman" w:cs="Times New Roman"/>
          <w:i/>
          <w:sz w:val="24"/>
          <w:szCs w:val="24"/>
        </w:rPr>
        <w:t>Ak sa táto neplatnosť uplatňuje pred vnútroš</w:t>
      </w:r>
      <w:r w:rsidRPr="00C40B95">
        <w:rPr>
          <w:rFonts w:ascii="Times New Roman" w:hAnsi="Times New Roman" w:cs="Times New Roman"/>
          <w:i/>
          <w:sz w:val="24"/>
          <w:szCs w:val="24"/>
        </w:rPr>
        <w:t xml:space="preserve">tátnym súdom, Súdny dvor overí ... </w:t>
      </w:r>
      <w:r w:rsidR="001C4676" w:rsidRPr="00C40B95">
        <w:rPr>
          <w:rFonts w:ascii="Times New Roman" w:hAnsi="Times New Roman" w:cs="Times New Roman"/>
          <w:i/>
          <w:sz w:val="24"/>
          <w:szCs w:val="24"/>
        </w:rPr>
        <w:t xml:space="preserve">či sú vo veci, ktorá mu bola predložená, splnené určité podmienky, aby bolo možné určiť, či môže byť na základe článku 267 ZFEÚ posúdená platnosť dotknutého aktu práva Únie z hľadiska uvádzaných predpisov medzinárodného práva (pozri v tomto zmysle rozsudok </w:t>
      </w:r>
      <w:proofErr w:type="spellStart"/>
      <w:r w:rsidR="001C4676" w:rsidRPr="00C40B95">
        <w:rPr>
          <w:rFonts w:ascii="Times New Roman" w:hAnsi="Times New Roman" w:cs="Times New Roman"/>
          <w:i/>
          <w:sz w:val="24"/>
          <w:szCs w:val="24"/>
        </w:rPr>
        <w:t>Intertanko</w:t>
      </w:r>
      <w:proofErr w:type="spellEnd"/>
      <w:r w:rsidR="001C4676" w:rsidRPr="00C40B95">
        <w:rPr>
          <w:rFonts w:ascii="Times New Roman" w:hAnsi="Times New Roman" w:cs="Times New Roman"/>
          <w:i/>
          <w:sz w:val="24"/>
          <w:szCs w:val="24"/>
        </w:rPr>
        <w:t xml:space="preserve"> a i., už citovaný, bod 43)</w:t>
      </w:r>
      <w:r w:rsidRPr="00C40B95">
        <w:rPr>
          <w:rFonts w:ascii="Times New Roman" w:hAnsi="Times New Roman" w:cs="Times New Roman"/>
          <w:sz w:val="24"/>
          <w:szCs w:val="24"/>
        </w:rPr>
        <w:t>“ (bod 51, rozsudku SD vo veci C-366/10</w:t>
      </w:r>
      <w:r w:rsidR="00EC4754">
        <w:rPr>
          <w:rFonts w:ascii="Times New Roman" w:hAnsi="Times New Roman" w:cs="Times New Roman"/>
          <w:sz w:val="24"/>
          <w:szCs w:val="24"/>
        </w:rPr>
        <w:t xml:space="preserve"> </w:t>
      </w:r>
      <w:proofErr w:type="spellStart"/>
      <w:r w:rsidR="00EC4754" w:rsidRPr="00EC4754">
        <w:rPr>
          <w:rFonts w:ascii="Times New Roman" w:hAnsi="Times New Roman" w:cs="Times New Roman"/>
          <w:i/>
          <w:sz w:val="24"/>
          <w:szCs w:val="24"/>
        </w:rPr>
        <w:t>Air</w:t>
      </w:r>
      <w:proofErr w:type="spellEnd"/>
      <w:r w:rsidR="00EC4754" w:rsidRPr="00EC4754">
        <w:rPr>
          <w:rFonts w:ascii="Times New Roman" w:hAnsi="Times New Roman" w:cs="Times New Roman"/>
          <w:i/>
          <w:sz w:val="24"/>
          <w:szCs w:val="24"/>
        </w:rPr>
        <w:t xml:space="preserve"> Transport </w:t>
      </w:r>
      <w:proofErr w:type="spellStart"/>
      <w:r w:rsidR="00EC4754" w:rsidRPr="00EC4754">
        <w:rPr>
          <w:rFonts w:ascii="Times New Roman" w:hAnsi="Times New Roman" w:cs="Times New Roman"/>
          <w:i/>
          <w:sz w:val="24"/>
          <w:szCs w:val="24"/>
        </w:rPr>
        <w:t>Association</w:t>
      </w:r>
      <w:proofErr w:type="spellEnd"/>
      <w:r w:rsidR="00EC4754" w:rsidRPr="00EC4754">
        <w:rPr>
          <w:rFonts w:ascii="Times New Roman" w:hAnsi="Times New Roman" w:cs="Times New Roman"/>
          <w:i/>
          <w:sz w:val="24"/>
          <w:szCs w:val="24"/>
        </w:rPr>
        <w:t xml:space="preserve"> </w:t>
      </w:r>
      <w:proofErr w:type="spellStart"/>
      <w:r w:rsidR="00EC4754" w:rsidRPr="00EC4754">
        <w:rPr>
          <w:rFonts w:ascii="Times New Roman" w:hAnsi="Times New Roman" w:cs="Times New Roman"/>
          <w:i/>
          <w:sz w:val="24"/>
          <w:szCs w:val="24"/>
        </w:rPr>
        <w:t>of</w:t>
      </w:r>
      <w:proofErr w:type="spellEnd"/>
      <w:r w:rsidR="00EC4754" w:rsidRPr="00EC4754">
        <w:rPr>
          <w:rFonts w:ascii="Times New Roman" w:hAnsi="Times New Roman" w:cs="Times New Roman"/>
          <w:i/>
          <w:sz w:val="24"/>
          <w:szCs w:val="24"/>
        </w:rPr>
        <w:t xml:space="preserve"> </w:t>
      </w:r>
      <w:proofErr w:type="spellStart"/>
      <w:r w:rsidR="00EC4754" w:rsidRPr="00EC4754">
        <w:rPr>
          <w:rFonts w:ascii="Times New Roman" w:hAnsi="Times New Roman" w:cs="Times New Roman"/>
          <w:i/>
          <w:sz w:val="24"/>
          <w:szCs w:val="24"/>
        </w:rPr>
        <w:t>America</w:t>
      </w:r>
      <w:proofErr w:type="spellEnd"/>
      <w:r w:rsidR="00EC4754" w:rsidRPr="00EC4754">
        <w:rPr>
          <w:rFonts w:ascii="Times New Roman" w:hAnsi="Times New Roman" w:cs="Times New Roman"/>
          <w:i/>
          <w:sz w:val="24"/>
          <w:szCs w:val="24"/>
        </w:rPr>
        <w:t xml:space="preserve"> a iní</w:t>
      </w:r>
      <w:r w:rsidRPr="00C40B95">
        <w:rPr>
          <w:rFonts w:ascii="Times New Roman" w:hAnsi="Times New Roman" w:cs="Times New Roman"/>
          <w:sz w:val="24"/>
          <w:szCs w:val="24"/>
        </w:rPr>
        <w:t>)</w:t>
      </w:r>
      <w:r w:rsidR="001C4676" w:rsidRPr="00C40B95">
        <w:rPr>
          <w:rFonts w:ascii="Times New Roman" w:hAnsi="Times New Roman" w:cs="Times New Roman"/>
          <w:sz w:val="24"/>
          <w:szCs w:val="24"/>
        </w:rPr>
        <w:t>.</w:t>
      </w:r>
      <w:r>
        <w:rPr>
          <w:rFonts w:ascii="Times New Roman" w:hAnsi="Times New Roman" w:cs="Times New Roman"/>
          <w:sz w:val="24"/>
          <w:szCs w:val="24"/>
        </w:rPr>
        <w:t xml:space="preserve"> </w:t>
      </w:r>
    </w:p>
    <w:p w:rsidR="001C4676" w:rsidRPr="00EC4754" w:rsidRDefault="00C40B95" w:rsidP="00EC4754">
      <w:pPr>
        <w:ind w:firstLine="708"/>
        <w:jc w:val="both"/>
        <w:rPr>
          <w:rFonts w:ascii="Times New Roman" w:hAnsi="Times New Roman" w:cs="Times New Roman"/>
          <w:sz w:val="24"/>
          <w:szCs w:val="24"/>
        </w:rPr>
      </w:pPr>
      <w:r w:rsidRPr="00EC4754">
        <w:rPr>
          <w:rFonts w:ascii="Times New Roman" w:hAnsi="Times New Roman" w:cs="Times New Roman"/>
          <w:sz w:val="24"/>
          <w:szCs w:val="24"/>
        </w:rPr>
        <w:t xml:space="preserve">Súdny dvor Ďalej uviedol, </w:t>
      </w:r>
      <w:r w:rsidR="001C4676" w:rsidRPr="00EC4754">
        <w:rPr>
          <w:rFonts w:ascii="Times New Roman" w:hAnsi="Times New Roman" w:cs="Times New Roman"/>
          <w:sz w:val="24"/>
          <w:szCs w:val="24"/>
        </w:rPr>
        <w:t>že</w:t>
      </w:r>
      <w:r w:rsidRPr="00EC4754">
        <w:rPr>
          <w:rFonts w:ascii="Times New Roman" w:hAnsi="Times New Roman" w:cs="Times New Roman"/>
          <w:sz w:val="24"/>
          <w:szCs w:val="24"/>
        </w:rPr>
        <w:t>: „</w:t>
      </w:r>
      <w:r w:rsidRPr="00EC4754">
        <w:rPr>
          <w:rFonts w:ascii="Times New Roman" w:hAnsi="Times New Roman" w:cs="Times New Roman"/>
          <w:i/>
          <w:sz w:val="24"/>
          <w:szCs w:val="24"/>
        </w:rPr>
        <w:t>...</w:t>
      </w:r>
      <w:r w:rsidR="001C4676" w:rsidRPr="00EC4754">
        <w:rPr>
          <w:rFonts w:ascii="Times New Roman" w:hAnsi="Times New Roman" w:cs="Times New Roman"/>
          <w:i/>
          <w:sz w:val="24"/>
          <w:szCs w:val="24"/>
        </w:rPr>
        <w:t xml:space="preserve">ako vyplýva z článku 3 ods. 5 ZEÚ, Únia prispieva k prísnemu dodržiavaniu a rozvoju medzinárodného práva. Pokiaľ teda prijíma určitý akt, je </w:t>
      </w:r>
      <w:r w:rsidR="001C4676" w:rsidRPr="00EC4754">
        <w:rPr>
          <w:rFonts w:ascii="Times New Roman" w:hAnsi="Times New Roman" w:cs="Times New Roman"/>
          <w:b/>
          <w:i/>
          <w:sz w:val="24"/>
          <w:szCs w:val="24"/>
        </w:rPr>
        <w:t>povinná dodržiavať medzinárodné právo ako celok vrátane medzinárodného obyčajového práva</w:t>
      </w:r>
      <w:r w:rsidR="001C4676" w:rsidRPr="00EC4754">
        <w:rPr>
          <w:rFonts w:ascii="Times New Roman" w:hAnsi="Times New Roman" w:cs="Times New Roman"/>
          <w:i/>
          <w:sz w:val="24"/>
          <w:szCs w:val="24"/>
        </w:rPr>
        <w:t xml:space="preserve">, ktorým sú inštitúcie Únie viazané (pozri v tomto zmysle rozsudky z 24. novembra 1992, </w:t>
      </w:r>
      <w:proofErr w:type="spellStart"/>
      <w:r w:rsidR="001C4676" w:rsidRPr="00EC4754">
        <w:rPr>
          <w:rFonts w:ascii="Times New Roman" w:hAnsi="Times New Roman" w:cs="Times New Roman"/>
          <w:i/>
          <w:sz w:val="24"/>
          <w:szCs w:val="24"/>
        </w:rPr>
        <w:t>Poulsen</w:t>
      </w:r>
      <w:proofErr w:type="spellEnd"/>
      <w:r w:rsidR="001C4676" w:rsidRPr="00EC4754">
        <w:rPr>
          <w:rFonts w:ascii="Times New Roman" w:hAnsi="Times New Roman" w:cs="Times New Roman"/>
          <w:i/>
          <w:sz w:val="24"/>
          <w:szCs w:val="24"/>
        </w:rPr>
        <w:t xml:space="preserve"> a </w:t>
      </w:r>
      <w:proofErr w:type="spellStart"/>
      <w:r w:rsidR="001C4676" w:rsidRPr="00EC4754">
        <w:rPr>
          <w:rFonts w:ascii="Times New Roman" w:hAnsi="Times New Roman" w:cs="Times New Roman"/>
          <w:i/>
          <w:sz w:val="24"/>
          <w:szCs w:val="24"/>
        </w:rPr>
        <w:t>Diva</w:t>
      </w:r>
      <w:proofErr w:type="spellEnd"/>
      <w:r w:rsidR="001C4676" w:rsidRPr="00EC4754">
        <w:rPr>
          <w:rFonts w:ascii="Times New Roman" w:hAnsi="Times New Roman" w:cs="Times New Roman"/>
          <w:i/>
          <w:sz w:val="24"/>
          <w:szCs w:val="24"/>
        </w:rPr>
        <w:t xml:space="preserve"> </w:t>
      </w:r>
      <w:proofErr w:type="spellStart"/>
      <w:r w:rsidR="001C4676" w:rsidRPr="00EC4754">
        <w:rPr>
          <w:rFonts w:ascii="Times New Roman" w:hAnsi="Times New Roman" w:cs="Times New Roman"/>
          <w:i/>
          <w:sz w:val="24"/>
          <w:szCs w:val="24"/>
        </w:rPr>
        <w:t>Navigation</w:t>
      </w:r>
      <w:proofErr w:type="spellEnd"/>
      <w:r w:rsidR="001C4676" w:rsidRPr="00EC4754">
        <w:rPr>
          <w:rFonts w:ascii="Times New Roman" w:hAnsi="Times New Roman" w:cs="Times New Roman"/>
          <w:i/>
          <w:sz w:val="24"/>
          <w:szCs w:val="24"/>
        </w:rPr>
        <w:t>, C</w:t>
      </w:r>
      <w:r w:rsidR="001C4676" w:rsidRPr="00EC4754">
        <w:rPr>
          <w:rFonts w:ascii="Times New Roman" w:hAnsi="Times New Roman" w:cs="Times New Roman"/>
          <w:i/>
          <w:sz w:val="24"/>
          <w:szCs w:val="24"/>
        </w:rPr>
        <w:noBreakHyphen/>
        <w:t>286/90, Zb. s. I</w:t>
      </w:r>
      <w:r w:rsidR="001C4676" w:rsidRPr="00EC4754">
        <w:rPr>
          <w:rFonts w:ascii="Times New Roman" w:hAnsi="Times New Roman" w:cs="Times New Roman"/>
          <w:i/>
          <w:sz w:val="24"/>
          <w:szCs w:val="24"/>
        </w:rPr>
        <w:noBreakHyphen/>
        <w:t xml:space="preserve">6019, body 9 a 10, ako aj zo 16. júna 1998, </w:t>
      </w:r>
      <w:proofErr w:type="spellStart"/>
      <w:r w:rsidR="001C4676" w:rsidRPr="00EC4754">
        <w:rPr>
          <w:rFonts w:ascii="Times New Roman" w:hAnsi="Times New Roman" w:cs="Times New Roman"/>
          <w:i/>
          <w:sz w:val="24"/>
          <w:szCs w:val="24"/>
        </w:rPr>
        <w:t>Racke</w:t>
      </w:r>
      <w:proofErr w:type="spellEnd"/>
      <w:r w:rsidR="001C4676" w:rsidRPr="00EC4754">
        <w:rPr>
          <w:rFonts w:ascii="Times New Roman" w:hAnsi="Times New Roman" w:cs="Times New Roman"/>
          <w:i/>
          <w:sz w:val="24"/>
          <w:szCs w:val="24"/>
        </w:rPr>
        <w:t>, C</w:t>
      </w:r>
      <w:r w:rsidR="001C4676" w:rsidRPr="00EC4754">
        <w:rPr>
          <w:rFonts w:ascii="Times New Roman" w:hAnsi="Times New Roman" w:cs="Times New Roman"/>
          <w:i/>
          <w:sz w:val="24"/>
          <w:szCs w:val="24"/>
        </w:rPr>
        <w:noBreakHyphen/>
        <w:t>162/96, Zb. s. I</w:t>
      </w:r>
      <w:r w:rsidR="001C4676" w:rsidRPr="00EC4754">
        <w:rPr>
          <w:rFonts w:ascii="Times New Roman" w:hAnsi="Times New Roman" w:cs="Times New Roman"/>
          <w:i/>
          <w:sz w:val="24"/>
          <w:szCs w:val="24"/>
        </w:rPr>
        <w:noBreakHyphen/>
        <w:t>3655, body 45 a 46)</w:t>
      </w:r>
      <w:r w:rsidR="00EC4754" w:rsidRPr="00EC4754">
        <w:rPr>
          <w:rFonts w:ascii="Times New Roman" w:hAnsi="Times New Roman" w:cs="Times New Roman"/>
          <w:sz w:val="24"/>
          <w:szCs w:val="24"/>
        </w:rPr>
        <w:t xml:space="preserve">“ (bod 101 rozsudku SD vo veci C-366/10 </w:t>
      </w:r>
      <w:proofErr w:type="spellStart"/>
      <w:r w:rsidR="00EC4754" w:rsidRPr="00EC4754">
        <w:rPr>
          <w:rFonts w:ascii="Times New Roman" w:hAnsi="Times New Roman" w:cs="Times New Roman"/>
          <w:i/>
          <w:sz w:val="24"/>
          <w:szCs w:val="24"/>
        </w:rPr>
        <w:t>Air</w:t>
      </w:r>
      <w:proofErr w:type="spellEnd"/>
      <w:r w:rsidR="00EC4754" w:rsidRPr="00EC4754">
        <w:rPr>
          <w:rFonts w:ascii="Times New Roman" w:hAnsi="Times New Roman" w:cs="Times New Roman"/>
          <w:i/>
          <w:sz w:val="24"/>
          <w:szCs w:val="24"/>
        </w:rPr>
        <w:t xml:space="preserve"> Transport </w:t>
      </w:r>
      <w:proofErr w:type="spellStart"/>
      <w:r w:rsidR="00EC4754" w:rsidRPr="00EC4754">
        <w:rPr>
          <w:rFonts w:ascii="Times New Roman" w:hAnsi="Times New Roman" w:cs="Times New Roman"/>
          <w:i/>
          <w:sz w:val="24"/>
          <w:szCs w:val="24"/>
        </w:rPr>
        <w:t>Association</w:t>
      </w:r>
      <w:proofErr w:type="spellEnd"/>
      <w:r w:rsidR="00EC4754" w:rsidRPr="00EC4754">
        <w:rPr>
          <w:rFonts w:ascii="Times New Roman" w:hAnsi="Times New Roman" w:cs="Times New Roman"/>
          <w:i/>
          <w:sz w:val="24"/>
          <w:szCs w:val="24"/>
        </w:rPr>
        <w:t xml:space="preserve"> </w:t>
      </w:r>
      <w:proofErr w:type="spellStart"/>
      <w:r w:rsidR="00EC4754" w:rsidRPr="00EC4754">
        <w:rPr>
          <w:rFonts w:ascii="Times New Roman" w:hAnsi="Times New Roman" w:cs="Times New Roman"/>
          <w:i/>
          <w:sz w:val="24"/>
          <w:szCs w:val="24"/>
        </w:rPr>
        <w:t>of</w:t>
      </w:r>
      <w:proofErr w:type="spellEnd"/>
      <w:r w:rsidR="00EC4754" w:rsidRPr="00EC4754">
        <w:rPr>
          <w:rFonts w:ascii="Times New Roman" w:hAnsi="Times New Roman" w:cs="Times New Roman"/>
          <w:i/>
          <w:sz w:val="24"/>
          <w:szCs w:val="24"/>
        </w:rPr>
        <w:t xml:space="preserve"> </w:t>
      </w:r>
      <w:proofErr w:type="spellStart"/>
      <w:r w:rsidR="00EC4754" w:rsidRPr="00EC4754">
        <w:rPr>
          <w:rFonts w:ascii="Times New Roman" w:hAnsi="Times New Roman" w:cs="Times New Roman"/>
          <w:i/>
          <w:sz w:val="24"/>
          <w:szCs w:val="24"/>
        </w:rPr>
        <w:t>America</w:t>
      </w:r>
      <w:proofErr w:type="spellEnd"/>
      <w:r w:rsidR="00EC4754" w:rsidRPr="00EC4754">
        <w:rPr>
          <w:rFonts w:ascii="Times New Roman" w:hAnsi="Times New Roman" w:cs="Times New Roman"/>
          <w:i/>
          <w:sz w:val="24"/>
          <w:szCs w:val="24"/>
        </w:rPr>
        <w:t xml:space="preserve"> a iní</w:t>
      </w:r>
      <w:r w:rsidR="00EC4754">
        <w:rPr>
          <w:rFonts w:ascii="Times New Roman" w:hAnsi="Times New Roman" w:cs="Times New Roman"/>
          <w:sz w:val="24"/>
          <w:szCs w:val="24"/>
        </w:rPr>
        <w:t>)</w:t>
      </w:r>
      <w:r w:rsidR="001C4676" w:rsidRPr="00EC4754">
        <w:rPr>
          <w:rFonts w:ascii="Times New Roman" w:hAnsi="Times New Roman" w:cs="Times New Roman"/>
          <w:sz w:val="24"/>
          <w:szCs w:val="24"/>
        </w:rPr>
        <w:t>.</w:t>
      </w:r>
    </w:p>
    <w:p w:rsidR="00694532" w:rsidRDefault="001C4676" w:rsidP="00694532">
      <w:pPr>
        <w:ind w:firstLine="708"/>
        <w:jc w:val="both"/>
        <w:rPr>
          <w:rFonts w:ascii="Times New Roman" w:hAnsi="Times New Roman" w:cs="Times New Roman"/>
          <w:sz w:val="24"/>
          <w:szCs w:val="24"/>
        </w:rPr>
      </w:pPr>
      <w:r w:rsidRPr="00164E18">
        <w:rPr>
          <w:rFonts w:ascii="Times New Roman" w:hAnsi="Times New Roman" w:cs="Times New Roman"/>
          <w:sz w:val="24"/>
          <w:szCs w:val="24"/>
        </w:rPr>
        <w:t xml:space="preserve">Súdny dvor </w:t>
      </w:r>
      <w:r w:rsidR="00164E18" w:rsidRPr="00164E18">
        <w:rPr>
          <w:rFonts w:ascii="Times New Roman" w:hAnsi="Times New Roman" w:cs="Times New Roman"/>
          <w:sz w:val="24"/>
          <w:szCs w:val="24"/>
        </w:rPr>
        <w:t xml:space="preserve">vo svojej judikatúre </w:t>
      </w:r>
      <w:r w:rsidRPr="00164E18">
        <w:rPr>
          <w:rFonts w:ascii="Times New Roman" w:hAnsi="Times New Roman" w:cs="Times New Roman"/>
          <w:sz w:val="24"/>
          <w:szCs w:val="24"/>
        </w:rPr>
        <w:t xml:space="preserve">vymedzil podmienky, ktoré musia byť splnené na to, aby </w:t>
      </w:r>
      <w:r w:rsidR="00164E18" w:rsidRPr="00164E18">
        <w:rPr>
          <w:rFonts w:ascii="Times New Roman" w:hAnsi="Times New Roman" w:cs="Times New Roman"/>
          <w:sz w:val="24"/>
          <w:szCs w:val="24"/>
        </w:rPr>
        <w:t xml:space="preserve">mohol </w:t>
      </w:r>
      <w:r w:rsidRPr="00164E18">
        <w:rPr>
          <w:rFonts w:ascii="Times New Roman" w:hAnsi="Times New Roman" w:cs="Times New Roman"/>
          <w:sz w:val="24"/>
          <w:szCs w:val="24"/>
        </w:rPr>
        <w:t>preskúma</w:t>
      </w:r>
      <w:r w:rsidR="00164E18" w:rsidRPr="00164E18">
        <w:rPr>
          <w:rFonts w:ascii="Times New Roman" w:hAnsi="Times New Roman" w:cs="Times New Roman"/>
          <w:sz w:val="24"/>
          <w:szCs w:val="24"/>
        </w:rPr>
        <w:t xml:space="preserve">ť </w:t>
      </w:r>
      <w:r w:rsidRPr="00164E18">
        <w:rPr>
          <w:rFonts w:ascii="Times New Roman" w:hAnsi="Times New Roman" w:cs="Times New Roman"/>
          <w:sz w:val="24"/>
          <w:szCs w:val="24"/>
        </w:rPr>
        <w:t xml:space="preserve">platnosť sekundárneho práva </w:t>
      </w:r>
      <w:r w:rsidR="00164E18" w:rsidRPr="00164E18">
        <w:rPr>
          <w:rFonts w:ascii="Times New Roman" w:hAnsi="Times New Roman" w:cs="Times New Roman"/>
          <w:sz w:val="24"/>
          <w:szCs w:val="24"/>
        </w:rPr>
        <w:t xml:space="preserve">Únie </w:t>
      </w:r>
      <w:r w:rsidRPr="00164E18">
        <w:rPr>
          <w:rFonts w:ascii="Times New Roman" w:hAnsi="Times New Roman" w:cs="Times New Roman"/>
          <w:sz w:val="24"/>
          <w:szCs w:val="24"/>
        </w:rPr>
        <w:t>so zreteľom n</w:t>
      </w:r>
      <w:r w:rsidR="00164E18" w:rsidRPr="00164E18">
        <w:rPr>
          <w:rFonts w:ascii="Times New Roman" w:hAnsi="Times New Roman" w:cs="Times New Roman"/>
          <w:sz w:val="24"/>
          <w:szCs w:val="24"/>
        </w:rPr>
        <w:t>a predpisy medzinárodného práva.</w:t>
      </w:r>
      <w:r w:rsidRPr="00164E18">
        <w:rPr>
          <w:rFonts w:ascii="Times New Roman" w:hAnsi="Times New Roman" w:cs="Times New Roman"/>
          <w:b/>
          <w:sz w:val="24"/>
          <w:szCs w:val="24"/>
        </w:rPr>
        <w:t xml:space="preserve"> </w:t>
      </w:r>
      <w:r w:rsidR="00701D3E" w:rsidRPr="00164E18">
        <w:rPr>
          <w:rFonts w:ascii="Times New Roman" w:hAnsi="Times New Roman" w:cs="Times New Roman"/>
          <w:sz w:val="24"/>
          <w:szCs w:val="24"/>
        </w:rPr>
        <w:t xml:space="preserve">V rozsudku vo veci Súdny dvor C-308/06 </w:t>
      </w:r>
      <w:proofErr w:type="spellStart"/>
      <w:r w:rsidR="00701D3E" w:rsidRPr="00164E18">
        <w:rPr>
          <w:rFonts w:ascii="Times New Roman" w:hAnsi="Times New Roman" w:cs="Times New Roman"/>
          <w:i/>
          <w:sz w:val="24"/>
          <w:szCs w:val="24"/>
        </w:rPr>
        <w:t>Intertanko</w:t>
      </w:r>
      <w:proofErr w:type="spellEnd"/>
      <w:r w:rsidR="00701D3E" w:rsidRPr="00164E18">
        <w:rPr>
          <w:rFonts w:ascii="Times New Roman" w:hAnsi="Times New Roman" w:cs="Times New Roman"/>
          <w:i/>
          <w:sz w:val="24"/>
          <w:szCs w:val="24"/>
        </w:rPr>
        <w:t xml:space="preserve"> a iní</w:t>
      </w:r>
      <w:r w:rsidR="00701D3E" w:rsidRPr="00164E18">
        <w:rPr>
          <w:rFonts w:ascii="Times New Roman" w:hAnsi="Times New Roman" w:cs="Times New Roman"/>
          <w:b/>
          <w:sz w:val="24"/>
          <w:szCs w:val="24"/>
        </w:rPr>
        <w:t xml:space="preserve"> </w:t>
      </w:r>
      <w:r w:rsidR="00701D3E" w:rsidRPr="00164E18">
        <w:rPr>
          <w:rFonts w:ascii="Times New Roman" w:hAnsi="Times New Roman" w:cs="Times New Roman"/>
          <w:sz w:val="24"/>
          <w:szCs w:val="24"/>
        </w:rPr>
        <w:t xml:space="preserve">Súdny dvor viedol, </w:t>
      </w:r>
      <w:r w:rsidRPr="00164E18">
        <w:rPr>
          <w:rFonts w:ascii="Times New Roman" w:hAnsi="Times New Roman" w:cs="Times New Roman"/>
          <w:sz w:val="24"/>
          <w:szCs w:val="24"/>
        </w:rPr>
        <w:t>že</w:t>
      </w:r>
      <w:r w:rsidR="00701D3E" w:rsidRPr="00164E18">
        <w:rPr>
          <w:rFonts w:ascii="Times New Roman" w:hAnsi="Times New Roman" w:cs="Times New Roman"/>
          <w:sz w:val="24"/>
          <w:szCs w:val="24"/>
        </w:rPr>
        <w:t>:</w:t>
      </w:r>
      <w:r w:rsidRPr="00164E18">
        <w:rPr>
          <w:rFonts w:ascii="Times New Roman" w:hAnsi="Times New Roman" w:cs="Times New Roman"/>
          <w:sz w:val="24"/>
          <w:szCs w:val="24"/>
        </w:rPr>
        <w:t xml:space="preserve"> </w:t>
      </w:r>
      <w:r w:rsidR="00F14044" w:rsidRPr="00164E18">
        <w:rPr>
          <w:rFonts w:ascii="Times New Roman" w:hAnsi="Times New Roman" w:cs="Times New Roman"/>
          <w:sz w:val="24"/>
          <w:szCs w:val="24"/>
        </w:rPr>
        <w:t>„</w:t>
      </w:r>
      <w:r w:rsidR="00701D3E" w:rsidRPr="00164E18">
        <w:rPr>
          <w:rFonts w:ascii="Times New Roman" w:hAnsi="Times New Roman" w:cs="Times New Roman"/>
          <w:i/>
          <w:sz w:val="24"/>
          <w:szCs w:val="24"/>
        </w:rPr>
        <w:t>...</w:t>
      </w:r>
      <w:r w:rsidRPr="00164E18">
        <w:rPr>
          <w:rFonts w:ascii="Times New Roman" w:hAnsi="Times New Roman" w:cs="Times New Roman"/>
          <w:i/>
          <w:sz w:val="24"/>
          <w:szCs w:val="24"/>
        </w:rPr>
        <w:t>platnosť sekundárnej právnej úpravy Spoločenstva môže byť ovplyvnená jej nezlučiteľnosťou s </w:t>
      </w:r>
      <w:r w:rsidR="00F14044" w:rsidRPr="00164E18">
        <w:rPr>
          <w:rFonts w:ascii="Times New Roman" w:hAnsi="Times New Roman" w:cs="Times New Roman"/>
          <w:i/>
          <w:sz w:val="24"/>
          <w:szCs w:val="24"/>
        </w:rPr>
        <w:t xml:space="preserve">... </w:t>
      </w:r>
      <w:r w:rsidRPr="00164E18">
        <w:rPr>
          <w:rFonts w:ascii="Times New Roman" w:hAnsi="Times New Roman" w:cs="Times New Roman"/>
          <w:i/>
          <w:sz w:val="24"/>
          <w:szCs w:val="24"/>
        </w:rPr>
        <w:t xml:space="preserve">predpismi medzinárodného práva. Ak sa tejto neplatnosti dovoláva pred vnútroštátnym súdom, </w:t>
      </w:r>
      <w:r w:rsidRPr="00164E18">
        <w:rPr>
          <w:rFonts w:ascii="Times New Roman" w:hAnsi="Times New Roman" w:cs="Times New Roman"/>
          <w:b/>
          <w:i/>
          <w:sz w:val="24"/>
          <w:szCs w:val="24"/>
        </w:rPr>
        <w:t>Súdny dvor na základe uplatnenia článku 234 ES</w:t>
      </w:r>
      <w:r w:rsidR="00F14044" w:rsidRPr="00164E18">
        <w:rPr>
          <w:rFonts w:ascii="Times New Roman" w:hAnsi="Times New Roman" w:cs="Times New Roman"/>
          <w:b/>
          <w:i/>
          <w:sz w:val="24"/>
          <w:szCs w:val="24"/>
        </w:rPr>
        <w:t xml:space="preserve"> </w:t>
      </w:r>
      <w:r w:rsidR="00F14044" w:rsidRPr="00164E18">
        <w:rPr>
          <w:rFonts w:ascii="Times New Roman" w:hAnsi="Times New Roman" w:cs="Times New Roman"/>
          <w:b/>
          <w:sz w:val="24"/>
          <w:szCs w:val="24"/>
        </w:rPr>
        <w:t>(teraz čl. 267 ZFEÚ)</w:t>
      </w:r>
      <w:r w:rsidRPr="00164E18">
        <w:rPr>
          <w:rFonts w:ascii="Times New Roman" w:hAnsi="Times New Roman" w:cs="Times New Roman"/>
          <w:b/>
          <w:sz w:val="24"/>
          <w:szCs w:val="24"/>
        </w:rPr>
        <w:t xml:space="preserve"> </w:t>
      </w:r>
      <w:r w:rsidRPr="00164E18">
        <w:rPr>
          <w:rFonts w:ascii="Times New Roman" w:hAnsi="Times New Roman" w:cs="Times New Roman"/>
          <w:b/>
          <w:i/>
          <w:sz w:val="24"/>
          <w:szCs w:val="24"/>
        </w:rPr>
        <w:t>overuje platnosť predmetnej právnej úpravy Spoločenstva vo vzťahu ku všetkým predpisom medzinárodného práva s výhradou rešpektovania dvoch podmienok</w:t>
      </w:r>
      <w:r w:rsidR="00F14044" w:rsidRPr="00164E18">
        <w:rPr>
          <w:rFonts w:ascii="Times New Roman" w:hAnsi="Times New Roman" w:cs="Times New Roman"/>
          <w:sz w:val="24"/>
          <w:szCs w:val="24"/>
        </w:rPr>
        <w:t xml:space="preserve">“ (bod 43 rozsudku SD vo veci </w:t>
      </w:r>
      <w:proofErr w:type="spellStart"/>
      <w:r w:rsidR="00F14044" w:rsidRPr="00164E18">
        <w:rPr>
          <w:rFonts w:ascii="Times New Roman" w:hAnsi="Times New Roman" w:cs="Times New Roman"/>
          <w:i/>
          <w:sz w:val="24"/>
          <w:szCs w:val="24"/>
        </w:rPr>
        <w:t>Intertanko</w:t>
      </w:r>
      <w:proofErr w:type="spellEnd"/>
      <w:r w:rsidR="00F14044" w:rsidRPr="00164E18">
        <w:rPr>
          <w:rFonts w:ascii="Times New Roman" w:hAnsi="Times New Roman" w:cs="Times New Roman"/>
          <w:i/>
          <w:sz w:val="24"/>
          <w:szCs w:val="24"/>
        </w:rPr>
        <w:t xml:space="preserve"> a iní</w:t>
      </w:r>
      <w:r w:rsidR="00F14044" w:rsidRPr="00164E18">
        <w:rPr>
          <w:rFonts w:ascii="Times New Roman" w:hAnsi="Times New Roman" w:cs="Times New Roman"/>
          <w:sz w:val="24"/>
          <w:szCs w:val="24"/>
        </w:rPr>
        <w:t>)</w:t>
      </w:r>
      <w:r w:rsidRPr="00164E18">
        <w:rPr>
          <w:rFonts w:ascii="Times New Roman" w:hAnsi="Times New Roman" w:cs="Times New Roman"/>
          <w:sz w:val="24"/>
          <w:szCs w:val="24"/>
        </w:rPr>
        <w:t>.</w:t>
      </w:r>
      <w:r w:rsidR="00F14044" w:rsidRPr="00164E18">
        <w:rPr>
          <w:rFonts w:ascii="Times New Roman" w:hAnsi="Times New Roman" w:cs="Times New Roman"/>
          <w:sz w:val="24"/>
          <w:szCs w:val="24"/>
        </w:rPr>
        <w:t xml:space="preserve"> Prvou podmienkou je, aby </w:t>
      </w:r>
      <w:r w:rsidRPr="00164E18">
        <w:rPr>
          <w:rFonts w:ascii="Times New Roman" w:hAnsi="Times New Roman" w:cs="Times New Roman"/>
          <w:sz w:val="24"/>
          <w:szCs w:val="24"/>
        </w:rPr>
        <w:t xml:space="preserve">Spoločenstvo </w:t>
      </w:r>
      <w:r w:rsidR="00F14044" w:rsidRPr="00164E18">
        <w:rPr>
          <w:rFonts w:ascii="Times New Roman" w:hAnsi="Times New Roman" w:cs="Times New Roman"/>
          <w:sz w:val="24"/>
          <w:szCs w:val="24"/>
        </w:rPr>
        <w:t xml:space="preserve">(teraz EÚ) bolo </w:t>
      </w:r>
      <w:r w:rsidRPr="00164E18">
        <w:rPr>
          <w:rFonts w:ascii="Times New Roman" w:hAnsi="Times New Roman" w:cs="Times New Roman"/>
          <w:sz w:val="24"/>
          <w:szCs w:val="24"/>
        </w:rPr>
        <w:t>viazané predpismi</w:t>
      </w:r>
      <w:r w:rsidR="00F14044" w:rsidRPr="00164E18">
        <w:rPr>
          <w:rFonts w:ascii="Times New Roman" w:hAnsi="Times New Roman" w:cs="Times New Roman"/>
          <w:sz w:val="24"/>
          <w:szCs w:val="24"/>
        </w:rPr>
        <w:t xml:space="preserve"> medzinárodného práva</w:t>
      </w:r>
      <w:r w:rsidRPr="00164E18">
        <w:rPr>
          <w:rFonts w:ascii="Times New Roman" w:hAnsi="Times New Roman" w:cs="Times New Roman"/>
          <w:sz w:val="24"/>
          <w:szCs w:val="24"/>
        </w:rPr>
        <w:t xml:space="preserve"> (pozri rozsudok z 12. decembra 1972, </w:t>
      </w:r>
      <w:proofErr w:type="spellStart"/>
      <w:r w:rsidRPr="00164E18">
        <w:rPr>
          <w:rFonts w:ascii="Times New Roman" w:hAnsi="Times New Roman" w:cs="Times New Roman"/>
          <w:sz w:val="24"/>
          <w:szCs w:val="24"/>
        </w:rPr>
        <w:t>International</w:t>
      </w:r>
      <w:proofErr w:type="spellEnd"/>
      <w:r w:rsidRPr="00164E18">
        <w:rPr>
          <w:rFonts w:ascii="Times New Roman" w:hAnsi="Times New Roman" w:cs="Times New Roman"/>
          <w:sz w:val="24"/>
          <w:szCs w:val="24"/>
        </w:rPr>
        <w:t xml:space="preserve"> </w:t>
      </w:r>
      <w:proofErr w:type="spellStart"/>
      <w:r w:rsidRPr="00164E18">
        <w:rPr>
          <w:rFonts w:ascii="Times New Roman" w:hAnsi="Times New Roman" w:cs="Times New Roman"/>
          <w:sz w:val="24"/>
          <w:szCs w:val="24"/>
        </w:rPr>
        <w:t>Fruit</w:t>
      </w:r>
      <w:proofErr w:type="spellEnd"/>
      <w:r w:rsidRPr="00164E18">
        <w:rPr>
          <w:rFonts w:ascii="Times New Roman" w:hAnsi="Times New Roman" w:cs="Times New Roman"/>
          <w:sz w:val="24"/>
          <w:szCs w:val="24"/>
        </w:rPr>
        <w:t xml:space="preserve"> </w:t>
      </w:r>
      <w:proofErr w:type="spellStart"/>
      <w:r w:rsidRPr="00164E18">
        <w:rPr>
          <w:rFonts w:ascii="Times New Roman" w:hAnsi="Times New Roman" w:cs="Times New Roman"/>
          <w:sz w:val="24"/>
          <w:szCs w:val="24"/>
        </w:rPr>
        <w:t>Company</w:t>
      </w:r>
      <w:proofErr w:type="spellEnd"/>
      <w:r w:rsidRPr="00164E18">
        <w:rPr>
          <w:rFonts w:ascii="Times New Roman" w:hAnsi="Times New Roman" w:cs="Times New Roman"/>
          <w:sz w:val="24"/>
          <w:szCs w:val="24"/>
        </w:rPr>
        <w:t xml:space="preserve"> a i., 21/72 až 24/72, Zb. s. 1219, bod 7).</w:t>
      </w:r>
      <w:r w:rsidR="00F14044" w:rsidRPr="00164E18">
        <w:rPr>
          <w:rFonts w:ascii="Times New Roman" w:hAnsi="Times New Roman" w:cs="Times New Roman"/>
          <w:sz w:val="24"/>
          <w:szCs w:val="24"/>
        </w:rPr>
        <w:t xml:space="preserve"> Druhou podmienkou, aby Súdny dvor mohol</w:t>
      </w:r>
      <w:r w:rsidRPr="00164E18">
        <w:rPr>
          <w:rFonts w:ascii="Times New Roman" w:hAnsi="Times New Roman" w:cs="Times New Roman"/>
          <w:sz w:val="24"/>
          <w:szCs w:val="24"/>
        </w:rPr>
        <w:t xml:space="preserve"> pristúpiť ku skúmaniu platnosti právnej úpravy Spoločenstva </w:t>
      </w:r>
      <w:r w:rsidR="00F14044" w:rsidRPr="00164E18">
        <w:rPr>
          <w:rFonts w:ascii="Times New Roman" w:hAnsi="Times New Roman" w:cs="Times New Roman"/>
          <w:sz w:val="24"/>
          <w:szCs w:val="24"/>
        </w:rPr>
        <w:t xml:space="preserve">(EÚ) </w:t>
      </w:r>
      <w:r w:rsidRPr="00164E18">
        <w:rPr>
          <w:rFonts w:ascii="Times New Roman" w:hAnsi="Times New Roman" w:cs="Times New Roman"/>
          <w:sz w:val="24"/>
          <w:szCs w:val="24"/>
        </w:rPr>
        <w:t>vzhľadom na medzinárodný dohovor</w:t>
      </w:r>
      <w:r w:rsidR="00F14044" w:rsidRPr="00164E18">
        <w:rPr>
          <w:rFonts w:ascii="Times New Roman" w:hAnsi="Times New Roman" w:cs="Times New Roman"/>
          <w:sz w:val="24"/>
          <w:szCs w:val="24"/>
        </w:rPr>
        <w:t xml:space="preserve"> je: </w:t>
      </w:r>
      <w:r w:rsidR="00F14044" w:rsidRPr="00164E18">
        <w:rPr>
          <w:rFonts w:ascii="Times New Roman" w:hAnsi="Times New Roman" w:cs="Times New Roman"/>
          <w:i/>
          <w:sz w:val="24"/>
          <w:szCs w:val="24"/>
        </w:rPr>
        <w:t>„...</w:t>
      </w:r>
      <w:r w:rsidRPr="00164E18">
        <w:rPr>
          <w:rFonts w:ascii="Times New Roman" w:hAnsi="Times New Roman" w:cs="Times New Roman"/>
          <w:i/>
          <w:sz w:val="24"/>
          <w:szCs w:val="24"/>
        </w:rPr>
        <w:t>ak charakter a štruktúra uvedeného dohovoru tomu nebránia, a okrem toho, ak sa jeho ustanovenia z pohľadu ich obsahu zdajú byť nepodmienečné a dostatočne presné</w:t>
      </w:r>
      <w:r w:rsidRPr="00164E18">
        <w:rPr>
          <w:rFonts w:ascii="Times New Roman" w:hAnsi="Times New Roman" w:cs="Times New Roman"/>
          <w:sz w:val="24"/>
          <w:szCs w:val="24"/>
        </w:rPr>
        <w:t xml:space="preserve"> </w:t>
      </w:r>
      <w:r w:rsidRPr="00164E18">
        <w:rPr>
          <w:rFonts w:ascii="Times New Roman" w:hAnsi="Times New Roman" w:cs="Times New Roman"/>
          <w:i/>
          <w:sz w:val="24"/>
          <w:szCs w:val="24"/>
        </w:rPr>
        <w:t>(pozri v tomto zmysle najmä rozsudok z 10. januára 2006, IATA a ELFAA, C</w:t>
      </w:r>
      <w:r w:rsidRPr="00164E18">
        <w:rPr>
          <w:rFonts w:ascii="Times New Roman" w:hAnsi="Times New Roman" w:cs="Times New Roman"/>
          <w:i/>
          <w:sz w:val="24"/>
          <w:szCs w:val="24"/>
        </w:rPr>
        <w:noBreakHyphen/>
        <w:t>344/04, Zb. s. I</w:t>
      </w:r>
      <w:r w:rsidRPr="00164E18">
        <w:rPr>
          <w:rFonts w:ascii="Times New Roman" w:hAnsi="Times New Roman" w:cs="Times New Roman"/>
          <w:i/>
          <w:sz w:val="24"/>
          <w:szCs w:val="24"/>
        </w:rPr>
        <w:noBreakHyphen/>
        <w:t>403, bod 39)</w:t>
      </w:r>
      <w:r w:rsidR="00164E18" w:rsidRPr="00164E18">
        <w:rPr>
          <w:rFonts w:ascii="Times New Roman" w:hAnsi="Times New Roman" w:cs="Times New Roman"/>
          <w:sz w:val="24"/>
          <w:szCs w:val="24"/>
        </w:rPr>
        <w:t>“</w:t>
      </w:r>
      <w:r w:rsidRPr="00164E18">
        <w:rPr>
          <w:rFonts w:ascii="Times New Roman" w:hAnsi="Times New Roman" w:cs="Times New Roman"/>
          <w:sz w:val="24"/>
          <w:szCs w:val="24"/>
        </w:rPr>
        <w:t>.</w:t>
      </w:r>
      <w:r w:rsidR="00F14044" w:rsidRPr="00164E18">
        <w:rPr>
          <w:rFonts w:ascii="Times New Roman" w:hAnsi="Times New Roman" w:cs="Times New Roman"/>
          <w:sz w:val="24"/>
          <w:szCs w:val="24"/>
        </w:rPr>
        <w:t xml:space="preserve"> (body 44, 45 rozsudku SD vo veci </w:t>
      </w:r>
      <w:proofErr w:type="spellStart"/>
      <w:r w:rsidR="00F14044" w:rsidRPr="00164E18">
        <w:rPr>
          <w:rFonts w:ascii="Times New Roman" w:hAnsi="Times New Roman" w:cs="Times New Roman"/>
          <w:i/>
          <w:sz w:val="24"/>
          <w:szCs w:val="24"/>
        </w:rPr>
        <w:t>Intertanko</w:t>
      </w:r>
      <w:proofErr w:type="spellEnd"/>
      <w:r w:rsidR="00F14044" w:rsidRPr="00164E18">
        <w:rPr>
          <w:rFonts w:ascii="Times New Roman" w:hAnsi="Times New Roman" w:cs="Times New Roman"/>
          <w:i/>
          <w:sz w:val="24"/>
          <w:szCs w:val="24"/>
        </w:rPr>
        <w:t xml:space="preserve"> a iní</w:t>
      </w:r>
      <w:r w:rsidR="00F14044" w:rsidRPr="00164E18">
        <w:rPr>
          <w:rFonts w:ascii="Times New Roman" w:hAnsi="Times New Roman" w:cs="Times New Roman"/>
          <w:sz w:val="24"/>
          <w:szCs w:val="24"/>
        </w:rPr>
        <w:t>).</w:t>
      </w:r>
      <w:bookmarkStart w:id="0" w:name="point49"/>
    </w:p>
    <w:p w:rsidR="00D66064" w:rsidRDefault="00694532" w:rsidP="00D66064">
      <w:pPr>
        <w:ind w:firstLine="708"/>
        <w:jc w:val="both"/>
        <w:rPr>
          <w:rFonts w:ascii="Times New Roman" w:hAnsi="Times New Roman" w:cs="Times New Roman"/>
          <w:sz w:val="24"/>
          <w:szCs w:val="24"/>
        </w:rPr>
      </w:pPr>
      <w:r w:rsidRPr="00694532">
        <w:rPr>
          <w:rFonts w:ascii="Times New Roman" w:hAnsi="Times New Roman" w:cs="Times New Roman"/>
          <w:sz w:val="24"/>
          <w:szCs w:val="24"/>
        </w:rPr>
        <w:t xml:space="preserve">Súdny dvor ďalej uviedol, že v prípade, ak Spoločenstvo (EÚ) nie je zmluvnou stranou medzinárodného dohovoru, aj ak by </w:t>
      </w:r>
      <w:bookmarkEnd w:id="0"/>
      <w:r w:rsidR="001C4676" w:rsidRPr="00694532">
        <w:rPr>
          <w:rFonts w:ascii="Times New Roman" w:hAnsi="Times New Roman" w:cs="Times New Roman"/>
          <w:sz w:val="24"/>
          <w:szCs w:val="24"/>
        </w:rPr>
        <w:t>všetky členské štáty Spoločenstva</w:t>
      </w:r>
      <w:r w:rsidRPr="00694532">
        <w:rPr>
          <w:rFonts w:ascii="Times New Roman" w:hAnsi="Times New Roman" w:cs="Times New Roman"/>
          <w:sz w:val="24"/>
          <w:szCs w:val="24"/>
        </w:rPr>
        <w:t xml:space="preserve"> (EÚ) boli </w:t>
      </w:r>
      <w:r w:rsidR="001C4676" w:rsidRPr="00694532">
        <w:rPr>
          <w:rFonts w:ascii="Times New Roman" w:hAnsi="Times New Roman" w:cs="Times New Roman"/>
          <w:sz w:val="24"/>
          <w:szCs w:val="24"/>
        </w:rPr>
        <w:t xml:space="preserve"> zmluvnými stranami </w:t>
      </w:r>
      <w:r w:rsidRPr="00694532">
        <w:rPr>
          <w:rFonts w:ascii="Times New Roman" w:hAnsi="Times New Roman" w:cs="Times New Roman"/>
          <w:sz w:val="24"/>
          <w:szCs w:val="24"/>
        </w:rPr>
        <w:t>príslušného medzinárodného d</w:t>
      </w:r>
      <w:r w:rsidR="001C4676" w:rsidRPr="00694532">
        <w:rPr>
          <w:rFonts w:ascii="Times New Roman" w:hAnsi="Times New Roman" w:cs="Times New Roman"/>
          <w:sz w:val="24"/>
          <w:szCs w:val="24"/>
        </w:rPr>
        <w:t>ohovoru</w:t>
      </w:r>
      <w:r w:rsidRPr="00694532">
        <w:rPr>
          <w:rFonts w:ascii="Times New Roman" w:hAnsi="Times New Roman" w:cs="Times New Roman"/>
          <w:sz w:val="24"/>
          <w:szCs w:val="24"/>
        </w:rPr>
        <w:t xml:space="preserve">, </w:t>
      </w:r>
      <w:r w:rsidR="001C4676" w:rsidRPr="00694532">
        <w:rPr>
          <w:rFonts w:ascii="Times New Roman" w:hAnsi="Times New Roman" w:cs="Times New Roman"/>
          <w:sz w:val="24"/>
          <w:szCs w:val="24"/>
        </w:rPr>
        <w:t xml:space="preserve">za absencie úplného prenesenia právomocí </w:t>
      </w:r>
      <w:r w:rsidR="001C4676" w:rsidRPr="00694532">
        <w:rPr>
          <w:rFonts w:ascii="Times New Roman" w:hAnsi="Times New Roman" w:cs="Times New Roman"/>
          <w:sz w:val="24"/>
          <w:szCs w:val="24"/>
        </w:rPr>
        <w:lastRenderedPageBreak/>
        <w:t>predtým vykonávaných členskými štátmi na Spoločenstvo, Spoločenstvo nemôže iba z toho dôvodu, že všetky tieto štáty sú zmluvným</w:t>
      </w:r>
      <w:r w:rsidRPr="00694532">
        <w:rPr>
          <w:rFonts w:ascii="Times New Roman" w:hAnsi="Times New Roman" w:cs="Times New Roman"/>
          <w:sz w:val="24"/>
          <w:szCs w:val="24"/>
        </w:rPr>
        <w:t>i stranami dohovoru</w:t>
      </w:r>
      <w:r w:rsidR="001C4676" w:rsidRPr="00694532">
        <w:rPr>
          <w:rFonts w:ascii="Times New Roman" w:hAnsi="Times New Roman" w:cs="Times New Roman"/>
          <w:sz w:val="24"/>
          <w:szCs w:val="24"/>
        </w:rPr>
        <w:t>, byť viazané predpismi, ktoré sú v ňom uvádzané a ktoré Spoločenstvo samo neschválilo</w:t>
      </w:r>
      <w:r w:rsidRPr="00694532">
        <w:rPr>
          <w:rFonts w:ascii="Times New Roman" w:hAnsi="Times New Roman" w:cs="Times New Roman"/>
          <w:sz w:val="24"/>
          <w:szCs w:val="24"/>
        </w:rPr>
        <w:t xml:space="preserve"> (bod 49 rozsudku vo veci </w:t>
      </w:r>
      <w:proofErr w:type="spellStart"/>
      <w:r w:rsidRPr="00694532">
        <w:rPr>
          <w:rFonts w:ascii="Times New Roman" w:hAnsi="Times New Roman" w:cs="Times New Roman"/>
          <w:i/>
          <w:sz w:val="24"/>
          <w:szCs w:val="24"/>
        </w:rPr>
        <w:t>Intertanko</w:t>
      </w:r>
      <w:proofErr w:type="spellEnd"/>
      <w:r w:rsidRPr="00694532">
        <w:rPr>
          <w:rFonts w:ascii="Times New Roman" w:hAnsi="Times New Roman" w:cs="Times New Roman"/>
          <w:i/>
          <w:sz w:val="24"/>
          <w:szCs w:val="24"/>
        </w:rPr>
        <w:t xml:space="preserve"> a iní</w:t>
      </w:r>
      <w:r w:rsidRPr="00694532">
        <w:rPr>
          <w:rFonts w:ascii="Times New Roman" w:hAnsi="Times New Roman" w:cs="Times New Roman"/>
          <w:sz w:val="24"/>
          <w:szCs w:val="24"/>
        </w:rPr>
        <w:t>)</w:t>
      </w:r>
      <w:r w:rsidR="001C4676" w:rsidRPr="00694532">
        <w:rPr>
          <w:rFonts w:ascii="Times New Roman" w:hAnsi="Times New Roman" w:cs="Times New Roman"/>
          <w:sz w:val="24"/>
          <w:szCs w:val="24"/>
        </w:rPr>
        <w:t>.</w:t>
      </w:r>
    </w:p>
    <w:p w:rsidR="00467C62" w:rsidRDefault="00694532" w:rsidP="00D66064">
      <w:pPr>
        <w:ind w:firstLine="708"/>
        <w:jc w:val="both"/>
        <w:rPr>
          <w:rFonts w:ascii="Times New Roman" w:hAnsi="Times New Roman" w:cs="Times New Roman"/>
          <w:sz w:val="24"/>
          <w:szCs w:val="24"/>
        </w:rPr>
      </w:pPr>
      <w:r w:rsidRPr="00D66064">
        <w:rPr>
          <w:rFonts w:ascii="Times New Roman" w:hAnsi="Times New Roman" w:cs="Times New Roman"/>
          <w:sz w:val="24"/>
          <w:szCs w:val="24"/>
        </w:rPr>
        <w:t>Z</w:t>
      </w:r>
      <w:r w:rsidR="001C4676" w:rsidRPr="00D66064">
        <w:rPr>
          <w:rFonts w:ascii="Times New Roman" w:hAnsi="Times New Roman" w:cs="Times New Roman"/>
          <w:sz w:val="24"/>
          <w:szCs w:val="24"/>
        </w:rPr>
        <w:t> ustálenej judikatúry</w:t>
      </w:r>
      <w:r w:rsidRPr="00D66064">
        <w:rPr>
          <w:rFonts w:ascii="Times New Roman" w:hAnsi="Times New Roman" w:cs="Times New Roman"/>
          <w:sz w:val="24"/>
          <w:szCs w:val="24"/>
        </w:rPr>
        <w:t xml:space="preserve"> Súdneho dvora však vyplýva</w:t>
      </w:r>
      <w:r w:rsidR="001C4676" w:rsidRPr="00D66064">
        <w:rPr>
          <w:rFonts w:ascii="Times New Roman" w:hAnsi="Times New Roman" w:cs="Times New Roman"/>
          <w:sz w:val="24"/>
          <w:szCs w:val="24"/>
        </w:rPr>
        <w:t xml:space="preserve">, </w:t>
      </w:r>
      <w:r w:rsidRPr="00D66064">
        <w:rPr>
          <w:rFonts w:ascii="Times New Roman" w:hAnsi="Times New Roman" w:cs="Times New Roman"/>
          <w:sz w:val="24"/>
          <w:szCs w:val="24"/>
        </w:rPr>
        <w:t>že</w:t>
      </w:r>
      <w:r w:rsidR="00D66064" w:rsidRPr="00D66064">
        <w:rPr>
          <w:rFonts w:ascii="Times New Roman" w:hAnsi="Times New Roman" w:cs="Times New Roman"/>
          <w:sz w:val="24"/>
          <w:szCs w:val="24"/>
        </w:rPr>
        <w:t>: „</w:t>
      </w:r>
      <w:r w:rsidR="001C4676" w:rsidRPr="00D66064">
        <w:rPr>
          <w:rFonts w:ascii="Times New Roman" w:hAnsi="Times New Roman" w:cs="Times New Roman"/>
          <w:i/>
          <w:sz w:val="24"/>
          <w:szCs w:val="24"/>
        </w:rPr>
        <w:t xml:space="preserve">právomoci Spoločenstva musia byť vykonávané v súlade s medzinárodným právom vrátane ustanovení medzinárodných dohôd v rozsahu, v akom kodifikujú obyčajové pravidlá uznávané medzinárodným právom verejným (pozri v tomto zmysle rozsudky z 24. novembra 1992, </w:t>
      </w:r>
      <w:proofErr w:type="spellStart"/>
      <w:r w:rsidR="001C4676" w:rsidRPr="00D66064">
        <w:rPr>
          <w:rFonts w:ascii="Times New Roman" w:hAnsi="Times New Roman" w:cs="Times New Roman"/>
          <w:i/>
          <w:sz w:val="24"/>
          <w:szCs w:val="24"/>
        </w:rPr>
        <w:t>Poulsen</w:t>
      </w:r>
      <w:proofErr w:type="spellEnd"/>
      <w:r w:rsidR="001C4676" w:rsidRPr="00D66064">
        <w:rPr>
          <w:rFonts w:ascii="Times New Roman" w:hAnsi="Times New Roman" w:cs="Times New Roman"/>
          <w:i/>
          <w:sz w:val="24"/>
          <w:szCs w:val="24"/>
        </w:rPr>
        <w:t xml:space="preserve"> a </w:t>
      </w:r>
      <w:proofErr w:type="spellStart"/>
      <w:r w:rsidR="001C4676" w:rsidRPr="00D66064">
        <w:rPr>
          <w:rFonts w:ascii="Times New Roman" w:hAnsi="Times New Roman" w:cs="Times New Roman"/>
          <w:i/>
          <w:sz w:val="24"/>
          <w:szCs w:val="24"/>
        </w:rPr>
        <w:t>Diva</w:t>
      </w:r>
      <w:proofErr w:type="spellEnd"/>
      <w:r w:rsidR="001C4676" w:rsidRPr="00D66064">
        <w:rPr>
          <w:rFonts w:ascii="Times New Roman" w:hAnsi="Times New Roman" w:cs="Times New Roman"/>
          <w:i/>
          <w:sz w:val="24"/>
          <w:szCs w:val="24"/>
        </w:rPr>
        <w:t xml:space="preserve"> </w:t>
      </w:r>
      <w:proofErr w:type="spellStart"/>
      <w:r w:rsidR="001C4676" w:rsidRPr="00D66064">
        <w:rPr>
          <w:rFonts w:ascii="Times New Roman" w:hAnsi="Times New Roman" w:cs="Times New Roman"/>
          <w:i/>
          <w:sz w:val="24"/>
          <w:szCs w:val="24"/>
        </w:rPr>
        <w:t>Navigation</w:t>
      </w:r>
      <w:proofErr w:type="spellEnd"/>
      <w:r w:rsidR="001C4676" w:rsidRPr="00D66064">
        <w:rPr>
          <w:rFonts w:ascii="Times New Roman" w:hAnsi="Times New Roman" w:cs="Times New Roman"/>
          <w:i/>
          <w:sz w:val="24"/>
          <w:szCs w:val="24"/>
        </w:rPr>
        <w:t>, C</w:t>
      </w:r>
      <w:r w:rsidR="001C4676" w:rsidRPr="00D66064">
        <w:rPr>
          <w:rFonts w:ascii="Times New Roman" w:hAnsi="Times New Roman" w:cs="Times New Roman"/>
          <w:i/>
          <w:sz w:val="24"/>
          <w:szCs w:val="24"/>
        </w:rPr>
        <w:noBreakHyphen/>
        <w:t>286/90, Zb. s. I</w:t>
      </w:r>
      <w:r w:rsidR="001C4676" w:rsidRPr="00D66064">
        <w:rPr>
          <w:rFonts w:ascii="Times New Roman" w:hAnsi="Times New Roman" w:cs="Times New Roman"/>
          <w:i/>
          <w:sz w:val="24"/>
          <w:szCs w:val="24"/>
        </w:rPr>
        <w:noBreakHyphen/>
        <w:t xml:space="preserve">6019, body 9 a 10; z 24. novembra 1993, </w:t>
      </w:r>
      <w:proofErr w:type="spellStart"/>
      <w:r w:rsidR="001C4676" w:rsidRPr="00D66064">
        <w:rPr>
          <w:rFonts w:ascii="Times New Roman" w:hAnsi="Times New Roman" w:cs="Times New Roman"/>
          <w:i/>
          <w:sz w:val="24"/>
          <w:szCs w:val="24"/>
        </w:rPr>
        <w:t>Mondiet</w:t>
      </w:r>
      <w:proofErr w:type="spellEnd"/>
      <w:r w:rsidR="001C4676" w:rsidRPr="00D66064">
        <w:rPr>
          <w:rFonts w:ascii="Times New Roman" w:hAnsi="Times New Roman" w:cs="Times New Roman"/>
          <w:i/>
          <w:sz w:val="24"/>
          <w:szCs w:val="24"/>
        </w:rPr>
        <w:t>, C</w:t>
      </w:r>
      <w:r w:rsidR="001C4676" w:rsidRPr="00D66064">
        <w:rPr>
          <w:rFonts w:ascii="Times New Roman" w:hAnsi="Times New Roman" w:cs="Times New Roman"/>
          <w:i/>
          <w:sz w:val="24"/>
          <w:szCs w:val="24"/>
        </w:rPr>
        <w:noBreakHyphen/>
        <w:t>405/92, Zb. s. I</w:t>
      </w:r>
      <w:r w:rsidR="001C4676" w:rsidRPr="00D66064">
        <w:rPr>
          <w:rFonts w:ascii="Times New Roman" w:hAnsi="Times New Roman" w:cs="Times New Roman"/>
          <w:i/>
          <w:sz w:val="24"/>
          <w:szCs w:val="24"/>
        </w:rPr>
        <w:noBreakHyphen/>
        <w:t xml:space="preserve">6133, body 13 až 15, a zo 16. júna 1998, </w:t>
      </w:r>
      <w:proofErr w:type="spellStart"/>
      <w:r w:rsidR="001C4676" w:rsidRPr="00D66064">
        <w:rPr>
          <w:rFonts w:ascii="Times New Roman" w:hAnsi="Times New Roman" w:cs="Times New Roman"/>
          <w:i/>
          <w:sz w:val="24"/>
          <w:szCs w:val="24"/>
        </w:rPr>
        <w:t>Racke</w:t>
      </w:r>
      <w:proofErr w:type="spellEnd"/>
      <w:r w:rsidR="001C4676" w:rsidRPr="00D66064">
        <w:rPr>
          <w:rFonts w:ascii="Times New Roman" w:hAnsi="Times New Roman" w:cs="Times New Roman"/>
          <w:i/>
          <w:sz w:val="24"/>
          <w:szCs w:val="24"/>
        </w:rPr>
        <w:t>, C</w:t>
      </w:r>
      <w:r w:rsidR="001C4676" w:rsidRPr="00D66064">
        <w:rPr>
          <w:rFonts w:ascii="Times New Roman" w:hAnsi="Times New Roman" w:cs="Times New Roman"/>
          <w:i/>
          <w:sz w:val="24"/>
          <w:szCs w:val="24"/>
        </w:rPr>
        <w:noBreakHyphen/>
        <w:t>162/96, Zb. s. I</w:t>
      </w:r>
      <w:r w:rsidR="001C4676" w:rsidRPr="00D66064">
        <w:rPr>
          <w:rFonts w:ascii="Times New Roman" w:hAnsi="Times New Roman" w:cs="Times New Roman"/>
          <w:i/>
          <w:sz w:val="24"/>
          <w:szCs w:val="24"/>
        </w:rPr>
        <w:noBreakHyphen/>
        <w:t>3655, bod 45)</w:t>
      </w:r>
      <w:r w:rsidR="00D66064">
        <w:rPr>
          <w:rFonts w:ascii="Times New Roman" w:hAnsi="Times New Roman" w:cs="Times New Roman"/>
          <w:sz w:val="24"/>
          <w:szCs w:val="24"/>
        </w:rPr>
        <w:t>“</w:t>
      </w:r>
      <w:r w:rsidR="001C4676" w:rsidRPr="00D66064">
        <w:rPr>
          <w:rFonts w:ascii="Times New Roman" w:hAnsi="Times New Roman" w:cs="Times New Roman"/>
          <w:i/>
          <w:sz w:val="24"/>
          <w:szCs w:val="24"/>
        </w:rPr>
        <w:t>.</w:t>
      </w:r>
      <w:r w:rsidR="001C4676" w:rsidRPr="00D66064">
        <w:rPr>
          <w:rFonts w:ascii="Times New Roman" w:hAnsi="Times New Roman" w:cs="Times New Roman"/>
          <w:sz w:val="24"/>
          <w:szCs w:val="24"/>
        </w:rPr>
        <w:t xml:space="preserve"> </w:t>
      </w:r>
      <w:r w:rsidR="00D66064">
        <w:rPr>
          <w:rFonts w:ascii="Times New Roman" w:hAnsi="Times New Roman" w:cs="Times New Roman"/>
          <w:sz w:val="24"/>
          <w:szCs w:val="24"/>
        </w:rPr>
        <w:t xml:space="preserve">Z uvedeného vyplýva, že aj ak by Únia nebola zmluvnou stranou určitého medzinárodného dohovoru, predsa by len mohla byť viazaná určitými jeho ustanoveniami a to konkrétne tými, ktoré by </w:t>
      </w:r>
      <w:r w:rsidR="001C4676" w:rsidRPr="00D66064">
        <w:rPr>
          <w:rFonts w:ascii="Times New Roman" w:hAnsi="Times New Roman" w:cs="Times New Roman"/>
          <w:sz w:val="24"/>
          <w:szCs w:val="24"/>
        </w:rPr>
        <w:t>predstavoval</w:t>
      </w:r>
      <w:r w:rsidR="00D66064">
        <w:rPr>
          <w:rFonts w:ascii="Times New Roman" w:hAnsi="Times New Roman" w:cs="Times New Roman"/>
          <w:sz w:val="24"/>
          <w:szCs w:val="24"/>
        </w:rPr>
        <w:t>i</w:t>
      </w:r>
      <w:r w:rsidR="001C4676" w:rsidRPr="00D66064">
        <w:rPr>
          <w:rFonts w:ascii="Times New Roman" w:hAnsi="Times New Roman" w:cs="Times New Roman"/>
          <w:sz w:val="24"/>
          <w:szCs w:val="24"/>
        </w:rPr>
        <w:t xml:space="preserve"> vyjadrenie obyčajových pravidiel uznávaných </w:t>
      </w:r>
      <w:r w:rsidR="001C4676" w:rsidRPr="002F640E">
        <w:rPr>
          <w:rFonts w:ascii="Times New Roman" w:hAnsi="Times New Roman" w:cs="Times New Roman"/>
          <w:sz w:val="24"/>
          <w:szCs w:val="24"/>
        </w:rPr>
        <w:t>medzinárodným právom verejným</w:t>
      </w:r>
      <w:r w:rsidR="00D66064" w:rsidRPr="002F640E">
        <w:rPr>
          <w:rFonts w:ascii="Times New Roman" w:hAnsi="Times New Roman" w:cs="Times New Roman"/>
          <w:sz w:val="24"/>
          <w:szCs w:val="24"/>
        </w:rPr>
        <w:t>.</w:t>
      </w:r>
    </w:p>
    <w:p w:rsidR="00E95CD0" w:rsidRPr="00E95CD0" w:rsidRDefault="00D66064" w:rsidP="002F640E">
      <w:pPr>
        <w:ind w:firstLine="708"/>
        <w:jc w:val="both"/>
        <w:rPr>
          <w:rFonts w:ascii="Times New Roman" w:hAnsi="Times New Roman" w:cs="Times New Roman"/>
          <w:b/>
          <w:i/>
          <w:sz w:val="24"/>
          <w:szCs w:val="24"/>
        </w:rPr>
      </w:pPr>
      <w:r w:rsidRPr="002F640E">
        <w:rPr>
          <w:rFonts w:ascii="Times New Roman" w:hAnsi="Times New Roman" w:cs="Times New Roman"/>
          <w:sz w:val="24"/>
          <w:szCs w:val="24"/>
        </w:rPr>
        <w:t xml:space="preserve"> </w:t>
      </w:r>
      <w:r w:rsidR="00467C62">
        <w:rPr>
          <w:rFonts w:ascii="Times New Roman" w:hAnsi="Times New Roman" w:cs="Times New Roman"/>
          <w:b/>
          <w:i/>
          <w:sz w:val="24"/>
          <w:szCs w:val="24"/>
        </w:rPr>
        <w:t xml:space="preserve">III.2.    </w:t>
      </w:r>
      <w:r w:rsidR="00E95CD0" w:rsidRPr="00E95CD0">
        <w:rPr>
          <w:rFonts w:ascii="Times New Roman" w:hAnsi="Times New Roman" w:cs="Times New Roman"/>
          <w:b/>
          <w:i/>
          <w:sz w:val="24"/>
          <w:szCs w:val="24"/>
        </w:rPr>
        <w:t xml:space="preserve">K nepriamemu účinku medzinárodného práva: </w:t>
      </w:r>
    </w:p>
    <w:p w:rsidR="001C4676" w:rsidRDefault="002F640E" w:rsidP="002F640E">
      <w:pPr>
        <w:ind w:firstLine="708"/>
        <w:jc w:val="both"/>
        <w:rPr>
          <w:rFonts w:ascii="Times New Roman" w:hAnsi="Times New Roman" w:cs="Times New Roman"/>
          <w:sz w:val="24"/>
          <w:szCs w:val="24"/>
        </w:rPr>
      </w:pPr>
      <w:r w:rsidRPr="002F640E">
        <w:rPr>
          <w:rFonts w:ascii="Times New Roman" w:hAnsi="Times New Roman" w:cs="Times New Roman"/>
          <w:sz w:val="24"/>
          <w:szCs w:val="24"/>
        </w:rPr>
        <w:t xml:space="preserve">Napokon, v prípade, ak Únia nie je viazaná ustanoveniami určitého medzinárodného dohovoru, okolnosť, že členské štáty sú ním viazané, </w:t>
      </w:r>
      <w:r w:rsidR="001C4676" w:rsidRPr="002F640E">
        <w:rPr>
          <w:rFonts w:ascii="Times New Roman" w:hAnsi="Times New Roman" w:cs="Times New Roman"/>
          <w:sz w:val="24"/>
          <w:szCs w:val="24"/>
        </w:rPr>
        <w:t xml:space="preserve">môže mať dôsledky pre výklad </w:t>
      </w:r>
      <w:r w:rsidRPr="002F640E">
        <w:rPr>
          <w:rFonts w:ascii="Times New Roman" w:hAnsi="Times New Roman" w:cs="Times New Roman"/>
          <w:sz w:val="24"/>
          <w:szCs w:val="24"/>
        </w:rPr>
        <w:t>ustanovení práva Únie. Podľa Súdneho dvora: „</w:t>
      </w:r>
      <w:r w:rsidRPr="002F640E">
        <w:rPr>
          <w:rFonts w:ascii="Times New Roman" w:hAnsi="Times New Roman" w:cs="Times New Roman"/>
          <w:i/>
          <w:sz w:val="24"/>
          <w:szCs w:val="24"/>
        </w:rPr>
        <w:t>...vzh</w:t>
      </w:r>
      <w:r w:rsidR="001C4676" w:rsidRPr="002F640E">
        <w:rPr>
          <w:rFonts w:ascii="Times New Roman" w:hAnsi="Times New Roman" w:cs="Times New Roman"/>
          <w:i/>
          <w:sz w:val="24"/>
          <w:szCs w:val="24"/>
        </w:rPr>
        <w:t>ľadom na obyčajovú zásadu dobrej viery, ktorá je súčasťou medzinárodného práva verejného, a článok 10 </w:t>
      </w:r>
      <w:r w:rsidRPr="002F640E">
        <w:rPr>
          <w:rFonts w:ascii="Times New Roman" w:hAnsi="Times New Roman" w:cs="Times New Roman"/>
          <w:i/>
          <w:sz w:val="24"/>
          <w:szCs w:val="24"/>
        </w:rPr>
        <w:t>Z</w:t>
      </w:r>
      <w:r w:rsidR="001C4676" w:rsidRPr="002F640E">
        <w:rPr>
          <w:rFonts w:ascii="Times New Roman" w:hAnsi="Times New Roman" w:cs="Times New Roman"/>
          <w:i/>
          <w:sz w:val="24"/>
          <w:szCs w:val="24"/>
        </w:rPr>
        <w:t>ES</w:t>
      </w:r>
      <w:r w:rsidRPr="002F640E">
        <w:rPr>
          <w:rFonts w:ascii="Times New Roman" w:hAnsi="Times New Roman" w:cs="Times New Roman"/>
          <w:sz w:val="24"/>
          <w:szCs w:val="24"/>
        </w:rPr>
        <w:t xml:space="preserve"> (teraz čl. 4 ods. 3 ZEÚ)“</w:t>
      </w:r>
      <w:r w:rsidR="001C4676" w:rsidRPr="002F640E">
        <w:rPr>
          <w:rFonts w:ascii="Times New Roman" w:hAnsi="Times New Roman" w:cs="Times New Roman"/>
          <w:sz w:val="24"/>
          <w:szCs w:val="24"/>
        </w:rPr>
        <w:t xml:space="preserve">, Súdnemu dvoru prislúcha vykladať </w:t>
      </w:r>
      <w:r w:rsidRPr="002F640E">
        <w:rPr>
          <w:rFonts w:ascii="Times New Roman" w:hAnsi="Times New Roman" w:cs="Times New Roman"/>
          <w:sz w:val="24"/>
          <w:szCs w:val="24"/>
        </w:rPr>
        <w:t xml:space="preserve">príslušné </w:t>
      </w:r>
      <w:r w:rsidR="001C4676" w:rsidRPr="002F640E">
        <w:rPr>
          <w:rFonts w:ascii="Times New Roman" w:hAnsi="Times New Roman" w:cs="Times New Roman"/>
          <w:sz w:val="24"/>
          <w:szCs w:val="24"/>
        </w:rPr>
        <w:t xml:space="preserve">ustanovenia </w:t>
      </w:r>
      <w:r w:rsidRPr="002F640E">
        <w:rPr>
          <w:rFonts w:ascii="Times New Roman" w:hAnsi="Times New Roman" w:cs="Times New Roman"/>
          <w:sz w:val="24"/>
          <w:szCs w:val="24"/>
        </w:rPr>
        <w:t xml:space="preserve">práva Únie </w:t>
      </w:r>
      <w:r w:rsidR="001C4676" w:rsidRPr="002F640E">
        <w:rPr>
          <w:rFonts w:ascii="Times New Roman" w:hAnsi="Times New Roman" w:cs="Times New Roman"/>
          <w:sz w:val="24"/>
          <w:szCs w:val="24"/>
        </w:rPr>
        <w:t xml:space="preserve">s ohľadom na </w:t>
      </w:r>
      <w:r>
        <w:rPr>
          <w:rFonts w:ascii="Times New Roman" w:hAnsi="Times New Roman" w:cs="Times New Roman"/>
          <w:sz w:val="24"/>
          <w:szCs w:val="24"/>
        </w:rPr>
        <w:t>predmetný</w:t>
      </w:r>
      <w:r w:rsidRPr="002F640E">
        <w:rPr>
          <w:rFonts w:ascii="Times New Roman" w:hAnsi="Times New Roman" w:cs="Times New Roman"/>
          <w:sz w:val="24"/>
          <w:szCs w:val="24"/>
        </w:rPr>
        <w:t xml:space="preserve"> medzinárodný </w:t>
      </w:r>
      <w:r w:rsidR="001C4676" w:rsidRPr="002F640E">
        <w:rPr>
          <w:rFonts w:ascii="Times New Roman" w:hAnsi="Times New Roman" w:cs="Times New Roman"/>
          <w:sz w:val="24"/>
          <w:szCs w:val="24"/>
        </w:rPr>
        <w:t>dohovor</w:t>
      </w:r>
      <w:r w:rsidRPr="002F640E">
        <w:rPr>
          <w:rFonts w:ascii="Times New Roman" w:hAnsi="Times New Roman" w:cs="Times New Roman"/>
          <w:sz w:val="24"/>
          <w:szCs w:val="24"/>
        </w:rPr>
        <w:t xml:space="preserve"> (bod 52 rozsudku vo veci </w:t>
      </w:r>
      <w:proofErr w:type="spellStart"/>
      <w:r w:rsidRPr="002F640E">
        <w:rPr>
          <w:rFonts w:ascii="Times New Roman" w:hAnsi="Times New Roman" w:cs="Times New Roman"/>
          <w:i/>
          <w:sz w:val="24"/>
          <w:szCs w:val="24"/>
        </w:rPr>
        <w:t>Intertanko</w:t>
      </w:r>
      <w:proofErr w:type="spellEnd"/>
      <w:r w:rsidRPr="002F640E">
        <w:rPr>
          <w:rFonts w:ascii="Times New Roman" w:hAnsi="Times New Roman" w:cs="Times New Roman"/>
          <w:i/>
          <w:sz w:val="24"/>
          <w:szCs w:val="24"/>
        </w:rPr>
        <w:t xml:space="preserve"> a iní</w:t>
      </w:r>
      <w:r w:rsidRPr="002F640E">
        <w:rPr>
          <w:rFonts w:ascii="Times New Roman" w:hAnsi="Times New Roman" w:cs="Times New Roman"/>
          <w:sz w:val="24"/>
          <w:szCs w:val="24"/>
        </w:rPr>
        <w:t>).</w:t>
      </w:r>
    </w:p>
    <w:p w:rsidR="00E95CD0" w:rsidRDefault="00467C62" w:rsidP="002F640E">
      <w:pPr>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III.3. </w:t>
      </w:r>
      <w:r w:rsidR="00E95CD0" w:rsidRPr="00E95CD0">
        <w:rPr>
          <w:rFonts w:ascii="Times New Roman" w:hAnsi="Times New Roman" w:cs="Times New Roman"/>
          <w:b/>
          <w:i/>
          <w:sz w:val="24"/>
          <w:szCs w:val="24"/>
        </w:rPr>
        <w:t xml:space="preserve">K posudzovaniu zlučiteľnosti návrhov medzinárodných dohovorov s primárnym právom Únie: </w:t>
      </w:r>
    </w:p>
    <w:p w:rsidR="00345D57" w:rsidRPr="00345D57" w:rsidRDefault="00345D57" w:rsidP="00345D57">
      <w:pPr>
        <w:ind w:firstLine="708"/>
        <w:jc w:val="both"/>
        <w:rPr>
          <w:rFonts w:ascii="Times New Roman" w:hAnsi="Times New Roman" w:cs="Times New Roman"/>
          <w:sz w:val="24"/>
          <w:szCs w:val="24"/>
        </w:rPr>
      </w:pPr>
      <w:r w:rsidRPr="00345D57">
        <w:rPr>
          <w:rFonts w:ascii="Times New Roman" w:hAnsi="Times New Roman" w:cs="Times New Roman"/>
          <w:sz w:val="24"/>
          <w:szCs w:val="24"/>
        </w:rPr>
        <w:t>Podľa judikatúry Súdneho dvora, na účely zistenia, či návrh medzinárodnej dohody, ktorú Únia zamýšľa uzavrieť, je v súlade s primárnym právom Únie, je potrebné preveriť, či ustanovenia návrhu dohovoru nezasahujú do charakteristických znakov Únie a práva Únie</w:t>
      </w:r>
      <w:r>
        <w:rPr>
          <w:rFonts w:ascii="Times New Roman" w:hAnsi="Times New Roman" w:cs="Times New Roman"/>
          <w:sz w:val="24"/>
          <w:szCs w:val="24"/>
        </w:rPr>
        <w:t xml:space="preserve"> a autonómie právneho poriadku Únie</w:t>
      </w:r>
      <w:r w:rsidRPr="00345D57">
        <w:rPr>
          <w:rFonts w:ascii="Times New Roman" w:hAnsi="Times New Roman" w:cs="Times New Roman"/>
          <w:sz w:val="24"/>
          <w:szCs w:val="24"/>
        </w:rPr>
        <w:t>.</w:t>
      </w:r>
      <w:bookmarkStart w:id="1" w:name="_GoBack"/>
      <w:bookmarkEnd w:id="1"/>
    </w:p>
    <w:p w:rsidR="00345D57" w:rsidRPr="00345D57" w:rsidRDefault="00345D57" w:rsidP="00345D57">
      <w:pPr>
        <w:ind w:firstLine="708"/>
        <w:jc w:val="both"/>
        <w:rPr>
          <w:rFonts w:ascii="Times New Roman" w:hAnsi="Times New Roman" w:cs="Times New Roman"/>
          <w:sz w:val="24"/>
          <w:szCs w:val="24"/>
        </w:rPr>
      </w:pPr>
      <w:r w:rsidRPr="00345D57">
        <w:rPr>
          <w:rFonts w:ascii="Times New Roman" w:eastAsia="Times New Roman" w:hAnsi="Times New Roman" w:cs="Times New Roman"/>
          <w:sz w:val="24"/>
          <w:szCs w:val="24"/>
          <w:lang w:eastAsia="sk-SK"/>
        </w:rPr>
        <w:t>Podľa Súdneho dvora</w:t>
      </w:r>
      <w:r w:rsidR="00B432D4">
        <w:rPr>
          <w:rFonts w:ascii="Times New Roman" w:eastAsia="Times New Roman" w:hAnsi="Times New Roman" w:cs="Times New Roman"/>
          <w:sz w:val="24"/>
          <w:szCs w:val="24"/>
          <w:lang w:eastAsia="sk-SK"/>
        </w:rPr>
        <w:t xml:space="preserve"> k charakteristickým znakom Únie patria:</w:t>
      </w:r>
      <w:r w:rsidRPr="00345D57">
        <w:rPr>
          <w:rFonts w:ascii="Times New Roman" w:eastAsia="Times New Roman" w:hAnsi="Times New Roman" w:cs="Times New Roman"/>
          <w:sz w:val="24"/>
          <w:szCs w:val="24"/>
          <w:lang w:eastAsia="sk-SK"/>
        </w:rPr>
        <w:t xml:space="preserve"> „</w:t>
      </w:r>
      <w:r w:rsidRPr="00345D57">
        <w:rPr>
          <w:rFonts w:ascii="Times New Roman" w:eastAsia="Times New Roman" w:hAnsi="Times New Roman" w:cs="Times New Roman"/>
          <w:i/>
          <w:sz w:val="24"/>
          <w:szCs w:val="24"/>
          <w:lang w:eastAsia="sk-SK"/>
        </w:rPr>
        <w:t>...znaky súvisiace s ústavnou štruktúrou Únie, ktorá sa odráža v zásade prenesenia právomocí uvedenej v článku 4 ods. 1 ZEÚ a v článku 5 ods. 1 a 2 ZEÚ, ako aj v inštitucionálnom rámci definovanom v článkoch 13 ZEÚ až 19 ZEÚ</w:t>
      </w:r>
      <w:r w:rsidRPr="00345D57">
        <w:rPr>
          <w:rFonts w:ascii="Times New Roman" w:eastAsia="Times New Roman" w:hAnsi="Times New Roman" w:cs="Times New Roman"/>
          <w:sz w:val="24"/>
          <w:szCs w:val="24"/>
          <w:lang w:eastAsia="sk-SK"/>
        </w:rPr>
        <w:t>“ (bod 165 stanoviska 2/13 Súdneho dvora z 18.decembra 2014). K tomu je potrebné prirátať: „</w:t>
      </w:r>
      <w:r w:rsidRPr="00345D57">
        <w:rPr>
          <w:rFonts w:ascii="Times New Roman" w:eastAsia="Times New Roman" w:hAnsi="Times New Roman" w:cs="Times New Roman"/>
          <w:i/>
          <w:sz w:val="24"/>
          <w:szCs w:val="24"/>
          <w:lang w:eastAsia="sk-SK"/>
        </w:rPr>
        <w:t xml:space="preserve">...charakteristické znaky súvisiace so samotnou povahou práva Únie. Ako už Súdny dvor viackrát uviedol, právo Únie sa najmä vyznačuje tým, že vychádza z autonómneho prameňa tvoreného Zmluvami, svojou prednosťou pred právom členských štátov (pozri v tomto zmysle rozsudky </w:t>
      </w:r>
      <w:proofErr w:type="spellStart"/>
      <w:r w:rsidRPr="00345D57">
        <w:rPr>
          <w:rFonts w:ascii="Times New Roman" w:eastAsia="Times New Roman" w:hAnsi="Times New Roman" w:cs="Times New Roman"/>
          <w:i/>
          <w:sz w:val="24"/>
          <w:szCs w:val="24"/>
          <w:lang w:eastAsia="sk-SK"/>
        </w:rPr>
        <w:t>Costa</w:t>
      </w:r>
      <w:proofErr w:type="spellEnd"/>
      <w:r w:rsidRPr="00345D57">
        <w:rPr>
          <w:rFonts w:ascii="Times New Roman" w:eastAsia="Times New Roman" w:hAnsi="Times New Roman" w:cs="Times New Roman"/>
          <w:i/>
          <w:sz w:val="24"/>
          <w:szCs w:val="24"/>
          <w:lang w:eastAsia="sk-SK"/>
        </w:rPr>
        <w:t xml:space="preserve">, EU:C:1964:66, s. 1159 a 1160, ako aj </w:t>
      </w:r>
      <w:proofErr w:type="spellStart"/>
      <w:r w:rsidRPr="00345D57">
        <w:rPr>
          <w:rFonts w:ascii="Times New Roman" w:eastAsia="Times New Roman" w:hAnsi="Times New Roman" w:cs="Times New Roman"/>
          <w:i/>
          <w:sz w:val="24"/>
          <w:szCs w:val="24"/>
          <w:lang w:eastAsia="sk-SK"/>
        </w:rPr>
        <w:t>Internationale</w:t>
      </w:r>
      <w:proofErr w:type="spellEnd"/>
      <w:r w:rsidRPr="00345D57">
        <w:rPr>
          <w:rFonts w:ascii="Times New Roman" w:eastAsia="Times New Roman" w:hAnsi="Times New Roman" w:cs="Times New Roman"/>
          <w:i/>
          <w:sz w:val="24"/>
          <w:szCs w:val="24"/>
          <w:lang w:eastAsia="sk-SK"/>
        </w:rPr>
        <w:t xml:space="preserve"> </w:t>
      </w:r>
      <w:proofErr w:type="spellStart"/>
      <w:r w:rsidRPr="00345D57">
        <w:rPr>
          <w:rFonts w:ascii="Times New Roman" w:eastAsia="Times New Roman" w:hAnsi="Times New Roman" w:cs="Times New Roman"/>
          <w:i/>
          <w:sz w:val="24"/>
          <w:szCs w:val="24"/>
          <w:lang w:eastAsia="sk-SK"/>
        </w:rPr>
        <w:t>Handelsgesellschaft</w:t>
      </w:r>
      <w:proofErr w:type="spellEnd"/>
      <w:r w:rsidRPr="00345D57">
        <w:rPr>
          <w:rFonts w:ascii="Times New Roman" w:eastAsia="Times New Roman" w:hAnsi="Times New Roman" w:cs="Times New Roman"/>
          <w:i/>
          <w:sz w:val="24"/>
          <w:szCs w:val="24"/>
          <w:lang w:eastAsia="sk-SK"/>
        </w:rPr>
        <w:t xml:space="preserve">, EU:C:1970:114, bod 3; stanoviská 1/91, EU:C:1991:490, bod 21; 1/09, EU:C:2011:123, bod 65, a rozsudok </w:t>
      </w:r>
      <w:proofErr w:type="spellStart"/>
      <w:r w:rsidRPr="00345D57">
        <w:rPr>
          <w:rFonts w:ascii="Times New Roman" w:eastAsia="Times New Roman" w:hAnsi="Times New Roman" w:cs="Times New Roman"/>
          <w:i/>
          <w:sz w:val="24"/>
          <w:szCs w:val="24"/>
          <w:lang w:eastAsia="sk-SK"/>
        </w:rPr>
        <w:t>Melloni</w:t>
      </w:r>
      <w:proofErr w:type="spellEnd"/>
      <w:r w:rsidRPr="00345D57">
        <w:rPr>
          <w:rFonts w:ascii="Times New Roman" w:eastAsia="Times New Roman" w:hAnsi="Times New Roman" w:cs="Times New Roman"/>
          <w:i/>
          <w:sz w:val="24"/>
          <w:szCs w:val="24"/>
          <w:lang w:eastAsia="sk-SK"/>
        </w:rPr>
        <w:t>, C</w:t>
      </w:r>
      <w:r w:rsidRPr="00345D57">
        <w:rPr>
          <w:rFonts w:ascii="Times New Roman" w:eastAsia="Times New Roman" w:hAnsi="Times New Roman" w:cs="Times New Roman"/>
          <w:i/>
          <w:sz w:val="24"/>
          <w:szCs w:val="24"/>
          <w:lang w:eastAsia="sk-SK"/>
        </w:rPr>
        <w:noBreakHyphen/>
        <w:t xml:space="preserve">399/11, EU:C:2013:107, bod 59), ako aj priamym účinkom celého radu ustanovení uplatniteľných vo vzťahu k ich štátnym príslušníkom aj vo vzťahu k samotným členským štátom (rozsudok </w:t>
      </w:r>
      <w:proofErr w:type="spellStart"/>
      <w:r w:rsidRPr="00345D57">
        <w:rPr>
          <w:rFonts w:ascii="Times New Roman" w:eastAsia="Times New Roman" w:hAnsi="Times New Roman" w:cs="Times New Roman"/>
          <w:i/>
          <w:sz w:val="24"/>
          <w:szCs w:val="24"/>
          <w:lang w:eastAsia="sk-SK"/>
        </w:rPr>
        <w:t>van</w:t>
      </w:r>
      <w:proofErr w:type="spellEnd"/>
      <w:r w:rsidRPr="00345D57">
        <w:rPr>
          <w:rFonts w:ascii="Times New Roman" w:eastAsia="Times New Roman" w:hAnsi="Times New Roman" w:cs="Times New Roman"/>
          <w:i/>
          <w:sz w:val="24"/>
          <w:szCs w:val="24"/>
          <w:lang w:eastAsia="sk-SK"/>
        </w:rPr>
        <w:t xml:space="preserve"> </w:t>
      </w:r>
      <w:proofErr w:type="spellStart"/>
      <w:r w:rsidRPr="00345D57">
        <w:rPr>
          <w:rFonts w:ascii="Times New Roman" w:eastAsia="Times New Roman" w:hAnsi="Times New Roman" w:cs="Times New Roman"/>
          <w:i/>
          <w:sz w:val="24"/>
          <w:szCs w:val="24"/>
          <w:lang w:eastAsia="sk-SK"/>
        </w:rPr>
        <w:lastRenderedPageBreak/>
        <w:t>Gend</w:t>
      </w:r>
      <w:proofErr w:type="spellEnd"/>
      <w:r w:rsidRPr="00345D57">
        <w:rPr>
          <w:rFonts w:ascii="Times New Roman" w:eastAsia="Times New Roman" w:hAnsi="Times New Roman" w:cs="Times New Roman"/>
          <w:i/>
          <w:sz w:val="24"/>
          <w:szCs w:val="24"/>
          <w:lang w:eastAsia="sk-SK"/>
        </w:rPr>
        <w:t xml:space="preserve"> &amp; </w:t>
      </w:r>
      <w:proofErr w:type="spellStart"/>
      <w:r w:rsidRPr="00345D57">
        <w:rPr>
          <w:rFonts w:ascii="Times New Roman" w:eastAsia="Times New Roman" w:hAnsi="Times New Roman" w:cs="Times New Roman"/>
          <w:i/>
          <w:sz w:val="24"/>
          <w:szCs w:val="24"/>
          <w:lang w:eastAsia="sk-SK"/>
        </w:rPr>
        <w:t>Loos</w:t>
      </w:r>
      <w:proofErr w:type="spellEnd"/>
      <w:r w:rsidRPr="00345D57">
        <w:rPr>
          <w:rFonts w:ascii="Times New Roman" w:eastAsia="Times New Roman" w:hAnsi="Times New Roman" w:cs="Times New Roman"/>
          <w:i/>
          <w:sz w:val="24"/>
          <w:szCs w:val="24"/>
          <w:lang w:eastAsia="sk-SK"/>
        </w:rPr>
        <w:t>, EU:C:1963:1, s. 23, a stanovisko 1/09, EU:C:2011:123, bod 65)</w:t>
      </w:r>
      <w:r w:rsidRPr="00345D57">
        <w:rPr>
          <w:rFonts w:ascii="Times New Roman" w:eastAsia="Times New Roman" w:hAnsi="Times New Roman" w:cs="Times New Roman"/>
          <w:sz w:val="24"/>
          <w:szCs w:val="24"/>
          <w:lang w:eastAsia="sk-SK"/>
        </w:rPr>
        <w:t>“ (bod 166 stanoviska 2/13 Súdneho dvora z 18.decembra 2014).</w:t>
      </w:r>
    </w:p>
    <w:p w:rsidR="00345D57" w:rsidRDefault="00345D57" w:rsidP="00345D57">
      <w:pPr>
        <w:spacing w:before="100" w:beforeAutospacing="1" w:after="240"/>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Podľa Súdneho dvora: „</w:t>
      </w:r>
      <w:r w:rsidRPr="00345D57">
        <w:rPr>
          <w:rFonts w:ascii="Times New Roman" w:eastAsia="Times New Roman" w:hAnsi="Times New Roman" w:cs="Times New Roman"/>
          <w:i/>
          <w:sz w:val="24"/>
          <w:szCs w:val="24"/>
          <w:lang w:eastAsia="sk-SK"/>
        </w:rPr>
        <w:t>Tieto základné znaky práva Únie viedli k štruktúrovanému systému navzájom závislých zásad, pravidiel a právnych vzťahov, ktorými je viazaná samotná Únia a jej členské štáty, ako aj členské štáty navzájom, ktoré sú v súčasnosti zapojené, ako je pripomenuté v článku 1 druhom odseku ZEÚ, do „proces[u] utvárania čoraz užšieho spojenectva medzi národmi Európy“</w:t>
      </w:r>
      <w:r>
        <w:rPr>
          <w:rFonts w:ascii="Times New Roman" w:eastAsia="Times New Roman" w:hAnsi="Times New Roman" w:cs="Times New Roman"/>
          <w:sz w:val="24"/>
          <w:szCs w:val="24"/>
          <w:lang w:eastAsia="sk-SK"/>
        </w:rPr>
        <w:t xml:space="preserve"> (</w:t>
      </w:r>
      <w:r w:rsidRPr="00345D57">
        <w:rPr>
          <w:rFonts w:ascii="Times New Roman" w:eastAsia="Times New Roman" w:hAnsi="Times New Roman" w:cs="Times New Roman"/>
          <w:sz w:val="24"/>
          <w:szCs w:val="24"/>
          <w:lang w:eastAsia="sk-SK"/>
        </w:rPr>
        <w:t xml:space="preserve">bod </w:t>
      </w:r>
      <w:r>
        <w:rPr>
          <w:rFonts w:ascii="Times New Roman" w:eastAsia="Times New Roman" w:hAnsi="Times New Roman" w:cs="Times New Roman"/>
          <w:sz w:val="24"/>
          <w:szCs w:val="24"/>
          <w:lang w:eastAsia="sk-SK"/>
        </w:rPr>
        <w:t xml:space="preserve">167 </w:t>
      </w:r>
      <w:r w:rsidRPr="00345D57">
        <w:rPr>
          <w:rFonts w:ascii="Times New Roman" w:eastAsia="Times New Roman" w:hAnsi="Times New Roman" w:cs="Times New Roman"/>
          <w:sz w:val="24"/>
          <w:szCs w:val="24"/>
          <w:lang w:eastAsia="sk-SK"/>
        </w:rPr>
        <w:t>stanoviska 2/13 Súdneho dvora z 18.decembra 2014)</w:t>
      </w:r>
      <w:r>
        <w:rPr>
          <w:rFonts w:ascii="Times New Roman" w:eastAsia="Times New Roman" w:hAnsi="Times New Roman" w:cs="Times New Roman"/>
          <w:sz w:val="24"/>
          <w:szCs w:val="24"/>
          <w:lang w:eastAsia="sk-SK"/>
        </w:rPr>
        <w:t>.</w:t>
      </w:r>
    </w:p>
    <w:p w:rsidR="00345D57" w:rsidRPr="00345D57" w:rsidRDefault="00345D57" w:rsidP="00345D57">
      <w:pPr>
        <w:spacing w:before="100" w:beforeAutospacing="1" w:after="240"/>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Medzi charakteristické znaky práva Únie patrí aj zmluvami vytvorený osobitný súdny systém. Podľa Súdneho dvora: „</w:t>
      </w:r>
      <w:r w:rsidRPr="00345D57">
        <w:rPr>
          <w:rFonts w:ascii="Times New Roman" w:eastAsia="Times New Roman" w:hAnsi="Times New Roman" w:cs="Times New Roman"/>
          <w:i/>
          <w:sz w:val="24"/>
          <w:szCs w:val="24"/>
          <w:lang w:eastAsia="sk-SK"/>
        </w:rPr>
        <w:t>Na zachovanie charakteristických znakov a autonómie právneho poriadku Únie zaviedli Zmluvy súdny systém určený na zabezpečenie súdržného a jednotného výkladu práva Únie</w:t>
      </w:r>
      <w:r w:rsidRPr="00345D57">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(bod 174 </w:t>
      </w:r>
      <w:r w:rsidRPr="00345D57">
        <w:rPr>
          <w:rFonts w:ascii="Times New Roman" w:eastAsia="Times New Roman" w:hAnsi="Times New Roman" w:cs="Times New Roman"/>
          <w:sz w:val="24"/>
          <w:szCs w:val="24"/>
          <w:lang w:eastAsia="sk-SK"/>
        </w:rPr>
        <w:t>stanoviska 2/13 Súdneho dvora z 18.decembra 2014)</w:t>
      </w:r>
      <w:r>
        <w:rPr>
          <w:rFonts w:ascii="Times New Roman" w:eastAsia="Times New Roman" w:hAnsi="Times New Roman" w:cs="Times New Roman"/>
          <w:sz w:val="24"/>
          <w:szCs w:val="24"/>
          <w:lang w:eastAsia="sk-SK"/>
        </w:rPr>
        <w:t>. „</w:t>
      </w:r>
      <w:r w:rsidRPr="00345D57">
        <w:rPr>
          <w:rFonts w:ascii="Times New Roman" w:eastAsia="Times New Roman" w:hAnsi="Times New Roman" w:cs="Times New Roman"/>
          <w:i/>
          <w:sz w:val="24"/>
          <w:szCs w:val="24"/>
          <w:lang w:eastAsia="sk-SK"/>
        </w:rPr>
        <w:t>V tomto rámci vnútroštátnym súdom a Súdnemu dvoru prislúcha, aby zaručili plné uplatňovanie práva Únie vo všetkých členských štátoch a súdnu ochranu práv, ktoré pre jednotlivca vyplývajú z práva Únie (stanovisko 1/09, EU:C:2011:123, bod 68 a citovaná judikatúra)</w:t>
      </w:r>
      <w:r w:rsidRPr="00345D57">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(bod 175</w:t>
      </w:r>
      <w:r w:rsidRPr="00345D57">
        <w:rPr>
          <w:rFonts w:ascii="Times New Roman" w:eastAsia="Times New Roman" w:hAnsi="Times New Roman" w:cs="Times New Roman"/>
          <w:sz w:val="24"/>
          <w:szCs w:val="24"/>
          <w:lang w:eastAsia="sk-SK"/>
        </w:rPr>
        <w:t xml:space="preserve"> stanoviska 2/13 Súdneho dvora z 18.decembra 2014)</w:t>
      </w:r>
      <w:r>
        <w:rPr>
          <w:rFonts w:ascii="Times New Roman" w:eastAsia="Times New Roman" w:hAnsi="Times New Roman" w:cs="Times New Roman"/>
          <w:sz w:val="24"/>
          <w:szCs w:val="24"/>
          <w:lang w:eastAsia="sk-SK"/>
        </w:rPr>
        <w:t>. Podľa Súdneho dvora: „</w:t>
      </w:r>
      <w:r w:rsidRPr="00345D57">
        <w:rPr>
          <w:rFonts w:ascii="Times New Roman" w:eastAsia="Times New Roman" w:hAnsi="Times New Roman" w:cs="Times New Roman"/>
          <w:i/>
          <w:sz w:val="24"/>
          <w:szCs w:val="24"/>
          <w:lang w:eastAsia="sk-SK"/>
        </w:rPr>
        <w:t xml:space="preserve">...základom celého takto koncipovaného súdneho systému je konanie o prejudiciálnej otázke upravené v článku 267 ZFEÚ, ktoré má za cieľ – prostredníctvom nastoleného dialógu medzi súdmi, konkrétne medzi Súdnym dvorom a súdmi členských štátov – zabezpečiť jednotný výklad práva Únie (pozri v tomto zmysle rozsudok </w:t>
      </w:r>
      <w:proofErr w:type="spellStart"/>
      <w:r w:rsidRPr="00345D57">
        <w:rPr>
          <w:rFonts w:ascii="Times New Roman" w:eastAsia="Times New Roman" w:hAnsi="Times New Roman" w:cs="Times New Roman"/>
          <w:i/>
          <w:sz w:val="24"/>
          <w:szCs w:val="24"/>
          <w:lang w:eastAsia="sk-SK"/>
        </w:rPr>
        <w:t>van</w:t>
      </w:r>
      <w:proofErr w:type="spellEnd"/>
      <w:r w:rsidRPr="00345D57">
        <w:rPr>
          <w:rFonts w:ascii="Times New Roman" w:eastAsia="Times New Roman" w:hAnsi="Times New Roman" w:cs="Times New Roman"/>
          <w:i/>
          <w:sz w:val="24"/>
          <w:szCs w:val="24"/>
          <w:lang w:eastAsia="sk-SK"/>
        </w:rPr>
        <w:t xml:space="preserve"> </w:t>
      </w:r>
      <w:proofErr w:type="spellStart"/>
      <w:r w:rsidRPr="00345D57">
        <w:rPr>
          <w:rFonts w:ascii="Times New Roman" w:eastAsia="Times New Roman" w:hAnsi="Times New Roman" w:cs="Times New Roman"/>
          <w:i/>
          <w:sz w:val="24"/>
          <w:szCs w:val="24"/>
          <w:lang w:eastAsia="sk-SK"/>
        </w:rPr>
        <w:t>Gend</w:t>
      </w:r>
      <w:proofErr w:type="spellEnd"/>
      <w:r w:rsidRPr="00345D57">
        <w:rPr>
          <w:rFonts w:ascii="Times New Roman" w:eastAsia="Times New Roman" w:hAnsi="Times New Roman" w:cs="Times New Roman"/>
          <w:i/>
          <w:sz w:val="24"/>
          <w:szCs w:val="24"/>
          <w:lang w:eastAsia="sk-SK"/>
        </w:rPr>
        <w:t xml:space="preserve"> &amp; </w:t>
      </w:r>
      <w:proofErr w:type="spellStart"/>
      <w:r w:rsidRPr="00345D57">
        <w:rPr>
          <w:rFonts w:ascii="Times New Roman" w:eastAsia="Times New Roman" w:hAnsi="Times New Roman" w:cs="Times New Roman"/>
          <w:i/>
          <w:sz w:val="24"/>
          <w:szCs w:val="24"/>
          <w:lang w:eastAsia="sk-SK"/>
        </w:rPr>
        <w:t>Loos</w:t>
      </w:r>
      <w:proofErr w:type="spellEnd"/>
      <w:r w:rsidRPr="00345D57">
        <w:rPr>
          <w:rFonts w:ascii="Times New Roman" w:eastAsia="Times New Roman" w:hAnsi="Times New Roman" w:cs="Times New Roman"/>
          <w:i/>
          <w:sz w:val="24"/>
          <w:szCs w:val="24"/>
          <w:lang w:eastAsia="sk-SK"/>
        </w:rPr>
        <w:t>, EU:C:1963:1, s. 23), čím umožňuje zabezpečiť jeho súdržnosť, plný účinok a autonómiu a nakoniec aj špecifický charakter práva vytvoreného Zmluvami (pozri v tomto zmysle stanovisko 1/09, EU:C:2011:123, body 67 a 83).</w:t>
      </w:r>
      <w:r>
        <w:rPr>
          <w:rFonts w:ascii="Times New Roman" w:eastAsia="Times New Roman" w:hAnsi="Times New Roman" w:cs="Times New Roman"/>
          <w:sz w:val="24"/>
          <w:szCs w:val="24"/>
          <w:lang w:eastAsia="sk-SK"/>
        </w:rPr>
        <w:t xml:space="preserve">“ (bod 176 </w:t>
      </w:r>
      <w:r w:rsidRPr="00345D57">
        <w:rPr>
          <w:rFonts w:ascii="Times New Roman" w:eastAsia="Times New Roman" w:hAnsi="Times New Roman" w:cs="Times New Roman"/>
          <w:sz w:val="24"/>
          <w:szCs w:val="24"/>
          <w:lang w:eastAsia="sk-SK"/>
        </w:rPr>
        <w:t>stanoviska 2/13 Súdneho dvora z 18.decembra 2014)</w:t>
      </w:r>
      <w:r>
        <w:rPr>
          <w:rFonts w:ascii="Times New Roman" w:eastAsia="Times New Roman" w:hAnsi="Times New Roman" w:cs="Times New Roman"/>
          <w:sz w:val="24"/>
          <w:szCs w:val="24"/>
          <w:lang w:eastAsia="sk-SK"/>
        </w:rPr>
        <w:t>.</w:t>
      </w:r>
      <w:r w:rsidRPr="00345D57">
        <w:rPr>
          <w:rFonts w:ascii="Times New Roman" w:eastAsia="Times New Roman" w:hAnsi="Times New Roman" w:cs="Times New Roman"/>
          <w:sz w:val="24"/>
          <w:szCs w:val="24"/>
          <w:lang w:eastAsia="sk-SK"/>
        </w:rPr>
        <w:t xml:space="preserve"> </w:t>
      </w:r>
    </w:p>
    <w:p w:rsidR="00345D57" w:rsidRPr="00E95CD0" w:rsidRDefault="00345D57" w:rsidP="002F640E">
      <w:pPr>
        <w:ind w:firstLine="708"/>
        <w:jc w:val="both"/>
        <w:rPr>
          <w:rFonts w:ascii="Times New Roman" w:hAnsi="Times New Roman" w:cs="Times New Roman"/>
          <w:sz w:val="24"/>
          <w:szCs w:val="24"/>
        </w:rPr>
      </w:pPr>
    </w:p>
    <w:p w:rsidR="001C4676" w:rsidRPr="001C4676" w:rsidRDefault="001C4676" w:rsidP="002F640E">
      <w:pPr>
        <w:pStyle w:val="c01pointnumerotealtn"/>
        <w:rPr>
          <w:lang w:val="sk-SK"/>
        </w:rPr>
      </w:pPr>
      <w:r w:rsidRPr="00597C23">
        <w:rPr>
          <w:lang w:val="sk-SK"/>
        </w:rPr>
        <w:t>   </w:t>
      </w:r>
    </w:p>
    <w:p w:rsidR="0062145E" w:rsidRPr="00630539" w:rsidRDefault="0062145E" w:rsidP="00630539">
      <w:pPr>
        <w:spacing w:line="240" w:lineRule="auto"/>
        <w:ind w:firstLine="708"/>
        <w:jc w:val="both"/>
        <w:rPr>
          <w:rFonts w:ascii="Times New Roman" w:hAnsi="Times New Roman" w:cs="Times New Roman"/>
          <w:sz w:val="24"/>
          <w:szCs w:val="24"/>
        </w:rPr>
      </w:pPr>
    </w:p>
    <w:p w:rsidR="00820FBD" w:rsidRPr="00630539" w:rsidRDefault="00820FBD" w:rsidP="00630539">
      <w:pPr>
        <w:spacing w:line="240" w:lineRule="auto"/>
        <w:jc w:val="both"/>
        <w:rPr>
          <w:rFonts w:ascii="Times New Roman" w:hAnsi="Times New Roman" w:cs="Times New Roman"/>
          <w:sz w:val="24"/>
          <w:szCs w:val="24"/>
        </w:rPr>
      </w:pPr>
    </w:p>
    <w:p w:rsidR="00820FBD" w:rsidRPr="00630539" w:rsidRDefault="00820FBD" w:rsidP="00630539">
      <w:pPr>
        <w:spacing w:line="240" w:lineRule="auto"/>
        <w:jc w:val="both"/>
        <w:rPr>
          <w:rFonts w:ascii="Times New Roman" w:hAnsi="Times New Roman" w:cs="Times New Roman"/>
          <w:sz w:val="24"/>
          <w:szCs w:val="24"/>
        </w:rPr>
      </w:pPr>
    </w:p>
    <w:p w:rsidR="009A3FDE" w:rsidRPr="001216FD" w:rsidRDefault="009A3FDE" w:rsidP="00171870">
      <w:pPr>
        <w:jc w:val="both"/>
        <w:rPr>
          <w:sz w:val="24"/>
          <w:szCs w:val="24"/>
        </w:rPr>
      </w:pPr>
    </w:p>
    <w:p w:rsidR="009A3FDE" w:rsidRPr="009A3FDE" w:rsidRDefault="009A3FDE" w:rsidP="00171870">
      <w:pPr>
        <w:jc w:val="both"/>
        <w:rPr>
          <w:sz w:val="24"/>
          <w:szCs w:val="24"/>
        </w:rPr>
      </w:pPr>
    </w:p>
    <w:p w:rsidR="00820FBD" w:rsidRPr="009A3FDE" w:rsidRDefault="00820FBD" w:rsidP="00171870">
      <w:pPr>
        <w:jc w:val="both"/>
        <w:rPr>
          <w:sz w:val="24"/>
          <w:szCs w:val="24"/>
        </w:rPr>
      </w:pPr>
    </w:p>
    <w:p w:rsidR="00820FBD" w:rsidRDefault="00820FBD" w:rsidP="00171870">
      <w:pPr>
        <w:jc w:val="both"/>
        <w:rPr>
          <w:rFonts w:ascii="Times New Roman" w:hAnsi="Times New Roman" w:cs="Times New Roman"/>
        </w:rPr>
      </w:pPr>
    </w:p>
    <w:sectPr w:rsidR="00820FB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0A7" w:rsidRDefault="00E170A7" w:rsidP="00820FBD">
      <w:pPr>
        <w:spacing w:after="0" w:line="240" w:lineRule="auto"/>
      </w:pPr>
      <w:r>
        <w:separator/>
      </w:r>
    </w:p>
  </w:endnote>
  <w:endnote w:type="continuationSeparator" w:id="0">
    <w:p w:rsidR="00E170A7" w:rsidRDefault="00E170A7" w:rsidP="00820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361256"/>
      <w:docPartObj>
        <w:docPartGallery w:val="Page Numbers (Bottom of Page)"/>
        <w:docPartUnique/>
      </w:docPartObj>
    </w:sdtPr>
    <w:sdtContent>
      <w:p w:rsidR="009E4935" w:rsidRDefault="009E4935">
        <w:pPr>
          <w:pStyle w:val="Pta"/>
          <w:jc w:val="center"/>
        </w:pPr>
        <w:r>
          <w:fldChar w:fldCharType="begin"/>
        </w:r>
        <w:r>
          <w:instrText>PAGE   \* MERGEFORMAT</w:instrText>
        </w:r>
        <w:r>
          <w:fldChar w:fldCharType="separate"/>
        </w:r>
        <w:r w:rsidR="00B432D4">
          <w:rPr>
            <w:noProof/>
          </w:rPr>
          <w:t>1</w:t>
        </w:r>
        <w:r>
          <w:fldChar w:fldCharType="end"/>
        </w:r>
      </w:p>
    </w:sdtContent>
  </w:sdt>
  <w:p w:rsidR="009E4935" w:rsidRDefault="009E493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0A7" w:rsidRDefault="00E170A7" w:rsidP="00820FBD">
      <w:pPr>
        <w:spacing w:after="0" w:line="240" w:lineRule="auto"/>
      </w:pPr>
      <w:r>
        <w:separator/>
      </w:r>
    </w:p>
  </w:footnote>
  <w:footnote w:type="continuationSeparator" w:id="0">
    <w:p w:rsidR="00E170A7" w:rsidRDefault="00E170A7" w:rsidP="00820FBD">
      <w:pPr>
        <w:spacing w:after="0" w:line="240" w:lineRule="auto"/>
      </w:pPr>
      <w:r>
        <w:continuationSeparator/>
      </w:r>
    </w:p>
  </w:footnote>
  <w:footnote w:id="1">
    <w:p w:rsidR="009E4935" w:rsidRPr="009338AC" w:rsidRDefault="009E4935" w:rsidP="007376E0">
      <w:pPr>
        <w:pStyle w:val="Bezriadkovania"/>
        <w:tabs>
          <w:tab w:val="left" w:pos="709"/>
          <w:tab w:val="left" w:pos="4820"/>
        </w:tabs>
        <w:jc w:val="both"/>
        <w:rPr>
          <w:sz w:val="20"/>
          <w:szCs w:val="20"/>
        </w:rPr>
      </w:pPr>
      <w:r w:rsidRPr="009338AC">
        <w:rPr>
          <w:rStyle w:val="Odkaznapoznmkupodiarou"/>
          <w:sz w:val="20"/>
          <w:szCs w:val="20"/>
        </w:rPr>
        <w:footnoteRef/>
      </w:r>
      <w:r w:rsidRPr="009338AC">
        <w:rPr>
          <w:sz w:val="20"/>
          <w:szCs w:val="20"/>
        </w:rPr>
        <w:t xml:space="preserve"> Princíp prednosti komunitárneho (únijného) práva formulovaný Súdnym dvorom EÚ nebol automaticky akceptovaný a uplatňovaný zo strany všetkých členských štátov. Uplatniteľnosť tohto princípu bola možná v členských štátoch s monistickou koncepciou riešenia vzťahu medzi medzinárodným právom a vnútroštátnym právom. Monistická koncepcia priznáva normám medzinárodného práva ako takým prednosť pred vnútroštátnym </w:t>
      </w:r>
      <w:r w:rsidR="007376E0" w:rsidRPr="009338AC">
        <w:rPr>
          <w:sz w:val="20"/>
          <w:szCs w:val="20"/>
        </w:rPr>
        <w:t>právom.</w:t>
      </w:r>
      <w:r w:rsidRPr="009338AC">
        <w:rPr>
          <w:sz w:val="20"/>
          <w:szCs w:val="20"/>
        </w:rPr>
        <w:t xml:space="preserve"> Na tomto základe štáty s monistickou koncepciou akceptovali požiadavku prednosti práva Únie (komunitárneho práva) pred vnútroštátnym právom</w:t>
      </w:r>
      <w:r w:rsidR="00E02A1B" w:rsidRPr="009338AC">
        <w:rPr>
          <w:sz w:val="20"/>
          <w:szCs w:val="20"/>
        </w:rPr>
        <w:t xml:space="preserve"> z dôvodu osobitného charakteru komunitárneho (únijného) práva. Naproti tomu, podľa dualistickej koncepcie medzinárodné právo sa nestáva automaticky súčasťou vnútroštátneho práva, jeho súčasťou sa stáva, až keď dôjde k jeho inkorporovaniu do vnútroštátneho práva prostriedkami vnútroštátneho práva. V niektorých členských štátoch súdy akceptovali požiadavku prednosti práva Únie (komunitárneho práva) nie na základe osobitného charakteru tohto právneho poriadku, ale na základe príslušných ustanovení vnútroštátnych ústav, ktoré priznávajú prednosť medzinárodnému právu, alebo ktoré autorizujú prenos právomocí na </w:t>
      </w:r>
      <w:proofErr w:type="spellStart"/>
      <w:r w:rsidR="00E02A1B" w:rsidRPr="009338AC">
        <w:rPr>
          <w:sz w:val="20"/>
          <w:szCs w:val="20"/>
        </w:rPr>
        <w:t>supranacionálnu</w:t>
      </w:r>
      <w:proofErr w:type="spellEnd"/>
      <w:r w:rsidR="00E02A1B" w:rsidRPr="009338AC">
        <w:rPr>
          <w:sz w:val="20"/>
          <w:szCs w:val="20"/>
        </w:rPr>
        <w:t xml:space="preserve"> autoritu.</w:t>
      </w:r>
      <w:r w:rsidR="007376E0" w:rsidRPr="009338AC">
        <w:rPr>
          <w:sz w:val="20"/>
          <w:szCs w:val="20"/>
        </w:rPr>
        <w:t xml:space="preserve"> To je aj prípad Slovenskej republiky. Napokon </w:t>
      </w:r>
      <w:r w:rsidR="009338AC" w:rsidRPr="009338AC">
        <w:rPr>
          <w:sz w:val="20"/>
          <w:szCs w:val="20"/>
        </w:rPr>
        <w:t xml:space="preserve">na tomto mieste </w:t>
      </w:r>
      <w:r w:rsidR="007376E0" w:rsidRPr="009338AC">
        <w:rPr>
          <w:sz w:val="20"/>
          <w:szCs w:val="20"/>
        </w:rPr>
        <w:t xml:space="preserve">je potrebné </w:t>
      </w:r>
      <w:r w:rsidR="009338AC" w:rsidRPr="009338AC">
        <w:rPr>
          <w:sz w:val="20"/>
          <w:szCs w:val="20"/>
        </w:rPr>
        <w:t xml:space="preserve">rovnako </w:t>
      </w:r>
      <w:r w:rsidR="007376E0" w:rsidRPr="009338AC">
        <w:rPr>
          <w:sz w:val="20"/>
          <w:szCs w:val="20"/>
        </w:rPr>
        <w:t xml:space="preserve">dodať, že </w:t>
      </w:r>
      <w:r w:rsidR="009338AC" w:rsidRPr="009338AC">
        <w:rPr>
          <w:sz w:val="20"/>
          <w:szCs w:val="20"/>
        </w:rPr>
        <w:t>mnohé č</w:t>
      </w:r>
      <w:r w:rsidR="009338AC" w:rsidRPr="009338AC">
        <w:rPr>
          <w:sz w:val="20"/>
          <w:szCs w:val="20"/>
        </w:rPr>
        <w:t xml:space="preserve">lenské štáty prostredníctvom svojich ústav a/alebo rozhodovacej činnosti svojich ústavných súdov </w:t>
      </w:r>
      <w:r w:rsidR="009338AC" w:rsidRPr="009338AC">
        <w:rPr>
          <w:sz w:val="20"/>
          <w:szCs w:val="20"/>
        </w:rPr>
        <w:t>ne</w:t>
      </w:r>
      <w:r w:rsidR="009338AC" w:rsidRPr="009338AC">
        <w:rPr>
          <w:sz w:val="20"/>
          <w:szCs w:val="20"/>
        </w:rPr>
        <w:t xml:space="preserve">akceptovali </w:t>
      </w:r>
      <w:r w:rsidR="009338AC" w:rsidRPr="009338AC">
        <w:rPr>
          <w:sz w:val="20"/>
          <w:szCs w:val="20"/>
        </w:rPr>
        <w:t xml:space="preserve">požiadavku bezpodmienečnej </w:t>
      </w:r>
      <w:r w:rsidR="009338AC" w:rsidRPr="009338AC">
        <w:rPr>
          <w:sz w:val="20"/>
          <w:szCs w:val="20"/>
        </w:rPr>
        <w:t>predno</w:t>
      </w:r>
      <w:r w:rsidR="009338AC" w:rsidRPr="009338AC">
        <w:rPr>
          <w:sz w:val="20"/>
          <w:szCs w:val="20"/>
        </w:rPr>
        <w:t xml:space="preserve">sti práva EÚ pred vnútroštátnym právom. </w:t>
      </w:r>
      <w:r w:rsidR="009338AC" w:rsidRPr="009338AC">
        <w:rPr>
          <w:sz w:val="20"/>
          <w:szCs w:val="20"/>
        </w:rPr>
        <w:t xml:space="preserve">Vo veci </w:t>
      </w:r>
      <w:proofErr w:type="spellStart"/>
      <w:r w:rsidR="009338AC" w:rsidRPr="009338AC">
        <w:rPr>
          <w:i/>
          <w:sz w:val="20"/>
          <w:szCs w:val="20"/>
        </w:rPr>
        <w:t>Solange</w:t>
      </w:r>
      <w:proofErr w:type="spellEnd"/>
      <w:r w:rsidR="009338AC" w:rsidRPr="009338AC">
        <w:rPr>
          <w:i/>
          <w:sz w:val="20"/>
          <w:szCs w:val="20"/>
        </w:rPr>
        <w:t xml:space="preserve"> I</w:t>
      </w:r>
      <w:r w:rsidR="009338AC" w:rsidRPr="009338AC">
        <w:rPr>
          <w:sz w:val="20"/>
          <w:szCs w:val="20"/>
        </w:rPr>
        <w:t xml:space="preserve"> nemecký ústavný súd (</w:t>
      </w:r>
      <w:proofErr w:type="spellStart"/>
      <w:r w:rsidR="009338AC" w:rsidRPr="009338AC">
        <w:rPr>
          <w:i/>
          <w:sz w:val="20"/>
          <w:szCs w:val="20"/>
        </w:rPr>
        <w:t>Bundesverfassungsgericht</w:t>
      </w:r>
      <w:proofErr w:type="spellEnd"/>
      <w:r w:rsidR="009338AC" w:rsidRPr="009338AC">
        <w:rPr>
          <w:sz w:val="20"/>
          <w:szCs w:val="20"/>
        </w:rPr>
        <w:t xml:space="preserve">) pomeriaval potrebu zabezpečenia efektívnej a jednotnej aplikácie práva EÚ s potrebou zabezpečenia ochrany základných práv vyplývajúcej z nemeckej ústavy (Základného zákona). Nemecký ústavný súd dospel k záveru, že pokiaľ na úrovni EÚ (EHS) nebude zabezpečená ochrana základných práv porovnateľná s ich ochranou podľa vnútroštátnej ústavy, právo EÚ (EHS) bude podriadené vnútroštátnemu ústavnému preskúmaniu optikou ústavného štandardu ochrany základných práv. Vo svojom rozhodnutí vo veci </w:t>
      </w:r>
      <w:r w:rsidR="009338AC" w:rsidRPr="009338AC">
        <w:rPr>
          <w:i/>
          <w:sz w:val="20"/>
          <w:szCs w:val="20"/>
        </w:rPr>
        <w:t xml:space="preserve">Maastrichtskej zmluvy </w:t>
      </w:r>
      <w:r w:rsidR="009338AC" w:rsidRPr="009338AC">
        <w:rPr>
          <w:sz w:val="20"/>
          <w:szCs w:val="20"/>
        </w:rPr>
        <w:t xml:space="preserve">a neskôr vo veci </w:t>
      </w:r>
      <w:r w:rsidR="009338AC" w:rsidRPr="009338AC">
        <w:rPr>
          <w:i/>
          <w:sz w:val="20"/>
          <w:szCs w:val="20"/>
        </w:rPr>
        <w:t>Lisabonskej zmluvy</w:t>
      </w:r>
      <w:r w:rsidR="009338AC" w:rsidRPr="009338AC">
        <w:rPr>
          <w:sz w:val="20"/>
          <w:szCs w:val="20"/>
        </w:rPr>
        <w:t xml:space="preserve"> nemecký ústavný súd determinoval, že disponuje právomocou preskúmať, či akt Únie nebol prijatý </w:t>
      </w:r>
      <w:proofErr w:type="spellStart"/>
      <w:r w:rsidR="009338AC" w:rsidRPr="009338AC">
        <w:rPr>
          <w:i/>
          <w:sz w:val="20"/>
          <w:szCs w:val="20"/>
        </w:rPr>
        <w:t>ultra</w:t>
      </w:r>
      <w:proofErr w:type="spellEnd"/>
      <w:r w:rsidR="009338AC" w:rsidRPr="009338AC">
        <w:rPr>
          <w:i/>
          <w:sz w:val="20"/>
          <w:szCs w:val="20"/>
        </w:rPr>
        <w:t xml:space="preserve"> </w:t>
      </w:r>
      <w:proofErr w:type="spellStart"/>
      <w:r w:rsidR="009338AC" w:rsidRPr="009338AC">
        <w:rPr>
          <w:i/>
          <w:sz w:val="20"/>
          <w:szCs w:val="20"/>
        </w:rPr>
        <w:t>vires</w:t>
      </w:r>
      <w:proofErr w:type="spellEnd"/>
      <w:r w:rsidR="009338AC" w:rsidRPr="009338AC">
        <w:rPr>
          <w:sz w:val="20"/>
          <w:szCs w:val="20"/>
        </w:rPr>
        <w:t xml:space="preserve">. Ak by tomu tak bolo, vyhradil si právomoc vyhlásiť daný akt za neaplikovateľný na území Nemecka. </w:t>
      </w:r>
      <w:r w:rsidR="009338AC" w:rsidRPr="009338AC">
        <w:rPr>
          <w:sz w:val="20"/>
          <w:szCs w:val="20"/>
        </w:rPr>
        <w:t>S</w:t>
      </w:r>
      <w:r w:rsidR="009338AC" w:rsidRPr="009338AC">
        <w:rPr>
          <w:sz w:val="20"/>
          <w:szCs w:val="20"/>
        </w:rPr>
        <w:t xml:space="preserve">voju právomoc </w:t>
      </w:r>
      <w:r w:rsidR="009338AC" w:rsidRPr="009338AC">
        <w:rPr>
          <w:sz w:val="20"/>
          <w:szCs w:val="20"/>
        </w:rPr>
        <w:t xml:space="preserve">však </w:t>
      </w:r>
      <w:r w:rsidR="009338AC" w:rsidRPr="009338AC">
        <w:rPr>
          <w:sz w:val="20"/>
          <w:szCs w:val="20"/>
        </w:rPr>
        <w:t xml:space="preserve">obmedzil len na prípady, ak prekročenie právomocí orgánu Únie je dostatočne jasné a závažné a ak sporný akt Únie vedie k štrukturálne významnej zmene prerozdelenia právomocí medzi EÚ a členské štáty. V rozhodnutí vo veci </w:t>
      </w:r>
      <w:r w:rsidR="009338AC" w:rsidRPr="009338AC">
        <w:rPr>
          <w:i/>
          <w:sz w:val="20"/>
          <w:szCs w:val="20"/>
        </w:rPr>
        <w:t>Lisabonskej zmluvy</w:t>
      </w:r>
      <w:r w:rsidR="009338AC" w:rsidRPr="009338AC">
        <w:rPr>
          <w:sz w:val="20"/>
          <w:szCs w:val="20"/>
        </w:rPr>
        <w:t xml:space="preserve"> nemecký ústavný súd determinoval aj ďalší ústavný záväzok vedúci k vnútroštátnej rezistencii voči prednostnému uplatneniu práva EÚ. Súd považoval vnútroštátnu ústavnú identitu týkajúcu sa nezmeniteľného jadra ústavy za argument brániaci priznaniu právu EÚ aplikačnú prednosť. </w:t>
      </w:r>
      <w:r w:rsidR="007376E0" w:rsidRPr="009338AC">
        <w:rPr>
          <w:sz w:val="20"/>
          <w:szCs w:val="20"/>
        </w:rPr>
        <w:t xml:space="preserve"> </w:t>
      </w:r>
    </w:p>
    <w:p w:rsidR="009E4935" w:rsidRDefault="009E4935">
      <w:pPr>
        <w:pStyle w:val="Textpoznmkypodi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4330F"/>
    <w:multiLevelType w:val="hybridMultilevel"/>
    <w:tmpl w:val="E4204682"/>
    <w:lvl w:ilvl="0" w:tplc="74CE70B8">
      <w:start w:val="1"/>
      <w:numFmt w:val="upp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nsid w:val="1B37358A"/>
    <w:multiLevelType w:val="hybridMultilevel"/>
    <w:tmpl w:val="AD982736"/>
    <w:lvl w:ilvl="0" w:tplc="66122BF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59002A16"/>
    <w:multiLevelType w:val="hybridMultilevel"/>
    <w:tmpl w:val="3BF6A4AC"/>
    <w:lvl w:ilvl="0" w:tplc="0409000F">
      <w:start w:val="1"/>
      <w:numFmt w:val="decimal"/>
      <w:lvlText w:val="%1."/>
      <w:lvlJc w:val="left"/>
      <w:pPr>
        <w:tabs>
          <w:tab w:val="num" w:pos="928"/>
        </w:tabs>
        <w:ind w:left="928" w:hanging="360"/>
      </w:pPr>
      <w:rPr>
        <w:rFonts w:hint="default"/>
      </w:rPr>
    </w:lvl>
    <w:lvl w:ilvl="1" w:tplc="CB6C7B28">
      <w:start w:val="1"/>
      <w:numFmt w:val="lowerLetter"/>
      <w:lvlText w:val="%2)"/>
      <w:lvlJc w:val="left"/>
      <w:pPr>
        <w:tabs>
          <w:tab w:val="num" w:pos="1648"/>
        </w:tabs>
        <w:ind w:left="1648" w:hanging="360"/>
      </w:pPr>
      <w:rPr>
        <w:rFonts w:hint="default"/>
      </w:r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
    <w:nsid w:val="5E2E617B"/>
    <w:multiLevelType w:val="hybridMultilevel"/>
    <w:tmpl w:val="FA02B242"/>
    <w:lvl w:ilvl="0" w:tplc="5454A5E6">
      <w:numFmt w:val="bullet"/>
      <w:lvlText w:val="-"/>
      <w:lvlJc w:val="left"/>
      <w:pPr>
        <w:ind w:left="720" w:hanging="360"/>
      </w:pPr>
      <w:rPr>
        <w:rFonts w:ascii="Garamond" w:eastAsia="SimSu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AF"/>
    <w:rsid w:val="000E5B9F"/>
    <w:rsid w:val="00104EFB"/>
    <w:rsid w:val="0011608C"/>
    <w:rsid w:val="001216FD"/>
    <w:rsid w:val="00127C0C"/>
    <w:rsid w:val="00130FBD"/>
    <w:rsid w:val="00147378"/>
    <w:rsid w:val="00164E18"/>
    <w:rsid w:val="00171870"/>
    <w:rsid w:val="001C4676"/>
    <w:rsid w:val="00226EBD"/>
    <w:rsid w:val="00232806"/>
    <w:rsid w:val="00262170"/>
    <w:rsid w:val="002865EC"/>
    <w:rsid w:val="002A0A21"/>
    <w:rsid w:val="002C5988"/>
    <w:rsid w:val="002F640E"/>
    <w:rsid w:val="0030620C"/>
    <w:rsid w:val="003268BF"/>
    <w:rsid w:val="00345D57"/>
    <w:rsid w:val="003F1E38"/>
    <w:rsid w:val="003F60E5"/>
    <w:rsid w:val="00467C62"/>
    <w:rsid w:val="004E3650"/>
    <w:rsid w:val="004E4995"/>
    <w:rsid w:val="0050320B"/>
    <w:rsid w:val="00503C93"/>
    <w:rsid w:val="00522CAF"/>
    <w:rsid w:val="005A343A"/>
    <w:rsid w:val="005B18BF"/>
    <w:rsid w:val="005B3D21"/>
    <w:rsid w:val="005F14AE"/>
    <w:rsid w:val="005F4924"/>
    <w:rsid w:val="0062145E"/>
    <w:rsid w:val="00630539"/>
    <w:rsid w:val="006912CC"/>
    <w:rsid w:val="00694316"/>
    <w:rsid w:val="00694532"/>
    <w:rsid w:val="006A0977"/>
    <w:rsid w:val="006C283E"/>
    <w:rsid w:val="006D7260"/>
    <w:rsid w:val="00701CE8"/>
    <w:rsid w:val="00701D3E"/>
    <w:rsid w:val="007376E0"/>
    <w:rsid w:val="0074575F"/>
    <w:rsid w:val="007A052B"/>
    <w:rsid w:val="007A31EF"/>
    <w:rsid w:val="007D1FAF"/>
    <w:rsid w:val="00820FBD"/>
    <w:rsid w:val="00850305"/>
    <w:rsid w:val="008B3A82"/>
    <w:rsid w:val="008B5DD1"/>
    <w:rsid w:val="008E3BE7"/>
    <w:rsid w:val="008F2B93"/>
    <w:rsid w:val="00911B52"/>
    <w:rsid w:val="009338AC"/>
    <w:rsid w:val="009342BF"/>
    <w:rsid w:val="00973D2E"/>
    <w:rsid w:val="009A3FDE"/>
    <w:rsid w:val="009E4935"/>
    <w:rsid w:val="009E552C"/>
    <w:rsid w:val="009F2028"/>
    <w:rsid w:val="009F52CB"/>
    <w:rsid w:val="00A50393"/>
    <w:rsid w:val="00A53796"/>
    <w:rsid w:val="00A5729A"/>
    <w:rsid w:val="00A75019"/>
    <w:rsid w:val="00AA16FE"/>
    <w:rsid w:val="00AB5548"/>
    <w:rsid w:val="00AD3894"/>
    <w:rsid w:val="00AD670D"/>
    <w:rsid w:val="00AE2589"/>
    <w:rsid w:val="00B432D4"/>
    <w:rsid w:val="00B8574D"/>
    <w:rsid w:val="00B923C2"/>
    <w:rsid w:val="00BA60A6"/>
    <w:rsid w:val="00BD2701"/>
    <w:rsid w:val="00BD6F56"/>
    <w:rsid w:val="00BE1977"/>
    <w:rsid w:val="00C40B95"/>
    <w:rsid w:val="00C54536"/>
    <w:rsid w:val="00C54D5E"/>
    <w:rsid w:val="00C56011"/>
    <w:rsid w:val="00C560B9"/>
    <w:rsid w:val="00C75C99"/>
    <w:rsid w:val="00C75D11"/>
    <w:rsid w:val="00CB509C"/>
    <w:rsid w:val="00D0306F"/>
    <w:rsid w:val="00D26DE9"/>
    <w:rsid w:val="00D36AE0"/>
    <w:rsid w:val="00D61AE2"/>
    <w:rsid w:val="00D66064"/>
    <w:rsid w:val="00DB0045"/>
    <w:rsid w:val="00DB743D"/>
    <w:rsid w:val="00E02A1B"/>
    <w:rsid w:val="00E071A3"/>
    <w:rsid w:val="00E107C7"/>
    <w:rsid w:val="00E170A7"/>
    <w:rsid w:val="00E17287"/>
    <w:rsid w:val="00E41083"/>
    <w:rsid w:val="00E41EC4"/>
    <w:rsid w:val="00E95CD0"/>
    <w:rsid w:val="00EC4754"/>
    <w:rsid w:val="00ED27CF"/>
    <w:rsid w:val="00F14044"/>
    <w:rsid w:val="00F720F7"/>
    <w:rsid w:val="00FC67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F4924"/>
    <w:pPr>
      <w:ind w:left="720"/>
      <w:contextualSpacing/>
    </w:pPr>
  </w:style>
  <w:style w:type="paragraph" w:styleId="Textpoznmkypodiarou">
    <w:name w:val="footnote text"/>
    <w:basedOn w:val="Normlny"/>
    <w:link w:val="TextpoznmkypodiarouChar"/>
    <w:uiPriority w:val="99"/>
    <w:unhideWhenUsed/>
    <w:rsid w:val="00820FBD"/>
    <w:pPr>
      <w:spacing w:after="0" w:line="240" w:lineRule="auto"/>
    </w:pPr>
    <w:rPr>
      <w:rFonts w:ascii="Times New Roman" w:eastAsia="Calibri" w:hAnsi="Times New Roman" w:cs="Times New Roman"/>
      <w:sz w:val="20"/>
      <w:szCs w:val="20"/>
    </w:rPr>
  </w:style>
  <w:style w:type="character" w:customStyle="1" w:styleId="TextpoznmkypodiarouChar">
    <w:name w:val="Text poznámky pod čiarou Char"/>
    <w:basedOn w:val="Predvolenpsmoodseku"/>
    <w:link w:val="Textpoznmkypodiarou"/>
    <w:uiPriority w:val="99"/>
    <w:rsid w:val="00820FBD"/>
    <w:rPr>
      <w:rFonts w:ascii="Times New Roman" w:eastAsia="Calibri" w:hAnsi="Times New Roman" w:cs="Times New Roman"/>
      <w:sz w:val="20"/>
      <w:szCs w:val="20"/>
    </w:rPr>
  </w:style>
  <w:style w:type="character" w:styleId="Odkaznapoznmkupodiarou">
    <w:name w:val="footnote reference"/>
    <w:uiPriority w:val="99"/>
    <w:semiHidden/>
    <w:unhideWhenUsed/>
    <w:rsid w:val="00820FBD"/>
    <w:rPr>
      <w:vertAlign w:val="superscript"/>
    </w:rPr>
  </w:style>
  <w:style w:type="paragraph" w:styleId="Bezriadkovania">
    <w:name w:val="No Spacing"/>
    <w:uiPriority w:val="1"/>
    <w:qFormat/>
    <w:rsid w:val="00820FBD"/>
    <w:pPr>
      <w:spacing w:after="0" w:line="240" w:lineRule="auto"/>
    </w:pPr>
    <w:rPr>
      <w:rFonts w:ascii="Times New Roman" w:eastAsia="Calibri" w:hAnsi="Times New Roman" w:cs="Times New Roman"/>
    </w:rPr>
  </w:style>
  <w:style w:type="character" w:customStyle="1" w:styleId="outputecliaff">
    <w:name w:val="outputecliaff"/>
    <w:basedOn w:val="Predvolenpsmoodseku"/>
    <w:rsid w:val="00C560B9"/>
  </w:style>
  <w:style w:type="paragraph" w:styleId="Hlavika">
    <w:name w:val="header"/>
    <w:basedOn w:val="Normlny"/>
    <w:link w:val="HlavikaChar"/>
    <w:uiPriority w:val="99"/>
    <w:unhideWhenUsed/>
    <w:rsid w:val="001160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608C"/>
  </w:style>
  <w:style w:type="paragraph" w:styleId="Pta">
    <w:name w:val="footer"/>
    <w:basedOn w:val="Normlny"/>
    <w:link w:val="PtaChar"/>
    <w:uiPriority w:val="99"/>
    <w:unhideWhenUsed/>
    <w:rsid w:val="0011608C"/>
    <w:pPr>
      <w:tabs>
        <w:tab w:val="center" w:pos="4536"/>
        <w:tab w:val="right" w:pos="9072"/>
      </w:tabs>
      <w:spacing w:after="0" w:line="240" w:lineRule="auto"/>
    </w:pPr>
  </w:style>
  <w:style w:type="character" w:customStyle="1" w:styleId="PtaChar">
    <w:name w:val="Päta Char"/>
    <w:basedOn w:val="Predvolenpsmoodseku"/>
    <w:link w:val="Pta"/>
    <w:uiPriority w:val="99"/>
    <w:rsid w:val="0011608C"/>
  </w:style>
  <w:style w:type="paragraph" w:customStyle="1" w:styleId="c01pointnumerotealtn">
    <w:name w:val="c01pointnumerotealtn"/>
    <w:basedOn w:val="Normlny"/>
    <w:rsid w:val="001C4676"/>
    <w:pPr>
      <w:spacing w:before="100" w:beforeAutospacing="1" w:after="240" w:line="240" w:lineRule="auto"/>
      <w:ind w:left="567" w:hanging="539"/>
      <w:jc w:val="both"/>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F4924"/>
    <w:pPr>
      <w:ind w:left="720"/>
      <w:contextualSpacing/>
    </w:pPr>
  </w:style>
  <w:style w:type="paragraph" w:styleId="Textpoznmkypodiarou">
    <w:name w:val="footnote text"/>
    <w:basedOn w:val="Normlny"/>
    <w:link w:val="TextpoznmkypodiarouChar"/>
    <w:uiPriority w:val="99"/>
    <w:unhideWhenUsed/>
    <w:rsid w:val="00820FBD"/>
    <w:pPr>
      <w:spacing w:after="0" w:line="240" w:lineRule="auto"/>
    </w:pPr>
    <w:rPr>
      <w:rFonts w:ascii="Times New Roman" w:eastAsia="Calibri" w:hAnsi="Times New Roman" w:cs="Times New Roman"/>
      <w:sz w:val="20"/>
      <w:szCs w:val="20"/>
    </w:rPr>
  </w:style>
  <w:style w:type="character" w:customStyle="1" w:styleId="TextpoznmkypodiarouChar">
    <w:name w:val="Text poznámky pod čiarou Char"/>
    <w:basedOn w:val="Predvolenpsmoodseku"/>
    <w:link w:val="Textpoznmkypodiarou"/>
    <w:uiPriority w:val="99"/>
    <w:rsid w:val="00820FBD"/>
    <w:rPr>
      <w:rFonts w:ascii="Times New Roman" w:eastAsia="Calibri" w:hAnsi="Times New Roman" w:cs="Times New Roman"/>
      <w:sz w:val="20"/>
      <w:szCs w:val="20"/>
    </w:rPr>
  </w:style>
  <w:style w:type="character" w:styleId="Odkaznapoznmkupodiarou">
    <w:name w:val="footnote reference"/>
    <w:uiPriority w:val="99"/>
    <w:semiHidden/>
    <w:unhideWhenUsed/>
    <w:rsid w:val="00820FBD"/>
    <w:rPr>
      <w:vertAlign w:val="superscript"/>
    </w:rPr>
  </w:style>
  <w:style w:type="paragraph" w:styleId="Bezriadkovania">
    <w:name w:val="No Spacing"/>
    <w:uiPriority w:val="1"/>
    <w:qFormat/>
    <w:rsid w:val="00820FBD"/>
    <w:pPr>
      <w:spacing w:after="0" w:line="240" w:lineRule="auto"/>
    </w:pPr>
    <w:rPr>
      <w:rFonts w:ascii="Times New Roman" w:eastAsia="Calibri" w:hAnsi="Times New Roman" w:cs="Times New Roman"/>
    </w:rPr>
  </w:style>
  <w:style w:type="character" w:customStyle="1" w:styleId="outputecliaff">
    <w:name w:val="outputecliaff"/>
    <w:basedOn w:val="Predvolenpsmoodseku"/>
    <w:rsid w:val="00C560B9"/>
  </w:style>
  <w:style w:type="paragraph" w:styleId="Hlavika">
    <w:name w:val="header"/>
    <w:basedOn w:val="Normlny"/>
    <w:link w:val="HlavikaChar"/>
    <w:uiPriority w:val="99"/>
    <w:unhideWhenUsed/>
    <w:rsid w:val="001160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608C"/>
  </w:style>
  <w:style w:type="paragraph" w:styleId="Pta">
    <w:name w:val="footer"/>
    <w:basedOn w:val="Normlny"/>
    <w:link w:val="PtaChar"/>
    <w:uiPriority w:val="99"/>
    <w:unhideWhenUsed/>
    <w:rsid w:val="0011608C"/>
    <w:pPr>
      <w:tabs>
        <w:tab w:val="center" w:pos="4536"/>
        <w:tab w:val="right" w:pos="9072"/>
      </w:tabs>
      <w:spacing w:after="0" w:line="240" w:lineRule="auto"/>
    </w:pPr>
  </w:style>
  <w:style w:type="character" w:customStyle="1" w:styleId="PtaChar">
    <w:name w:val="Päta Char"/>
    <w:basedOn w:val="Predvolenpsmoodseku"/>
    <w:link w:val="Pta"/>
    <w:uiPriority w:val="99"/>
    <w:rsid w:val="0011608C"/>
  </w:style>
  <w:style w:type="paragraph" w:customStyle="1" w:styleId="c01pointnumerotealtn">
    <w:name w:val="c01pointnumerotealtn"/>
    <w:basedOn w:val="Normlny"/>
    <w:rsid w:val="001C4676"/>
    <w:pPr>
      <w:spacing w:before="100" w:beforeAutospacing="1" w:after="240" w:line="240" w:lineRule="auto"/>
      <w:ind w:left="567" w:hanging="539"/>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73216">
      <w:bodyDiv w:val="1"/>
      <w:marLeft w:val="0"/>
      <w:marRight w:val="0"/>
      <w:marTop w:val="0"/>
      <w:marBottom w:val="0"/>
      <w:divBdr>
        <w:top w:val="none" w:sz="0" w:space="0" w:color="auto"/>
        <w:left w:val="none" w:sz="0" w:space="0" w:color="auto"/>
        <w:bottom w:val="none" w:sz="0" w:space="0" w:color="auto"/>
        <w:right w:val="none" w:sz="0" w:space="0" w:color="auto"/>
      </w:divBdr>
      <w:divsChild>
        <w:div w:id="935748725">
          <w:marLeft w:val="0"/>
          <w:marRight w:val="0"/>
          <w:marTop w:val="0"/>
          <w:marBottom w:val="0"/>
          <w:divBdr>
            <w:top w:val="none" w:sz="0" w:space="0" w:color="auto"/>
            <w:left w:val="none" w:sz="0" w:space="0" w:color="auto"/>
            <w:bottom w:val="none" w:sz="0" w:space="0" w:color="auto"/>
            <w:right w:val="none" w:sz="0" w:space="0" w:color="auto"/>
          </w:divBdr>
          <w:divsChild>
            <w:div w:id="1781027340">
              <w:marLeft w:val="0"/>
              <w:marRight w:val="0"/>
              <w:marTop w:val="0"/>
              <w:marBottom w:val="0"/>
              <w:divBdr>
                <w:top w:val="none" w:sz="0" w:space="0" w:color="auto"/>
                <w:left w:val="none" w:sz="0" w:space="0" w:color="auto"/>
                <w:bottom w:val="none" w:sz="0" w:space="0" w:color="auto"/>
                <w:right w:val="none" w:sz="0" w:space="0" w:color="auto"/>
              </w:divBdr>
              <w:divsChild>
                <w:div w:id="2098866638">
                  <w:marLeft w:val="0"/>
                  <w:marRight w:val="0"/>
                  <w:marTop w:val="0"/>
                  <w:marBottom w:val="0"/>
                  <w:divBdr>
                    <w:top w:val="none" w:sz="0" w:space="0" w:color="auto"/>
                    <w:left w:val="none" w:sz="0" w:space="0" w:color="auto"/>
                    <w:bottom w:val="none" w:sz="0" w:space="0" w:color="auto"/>
                    <w:right w:val="none" w:sz="0" w:space="0" w:color="auto"/>
                  </w:divBdr>
                  <w:divsChild>
                    <w:div w:id="12737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09685">
      <w:bodyDiv w:val="1"/>
      <w:marLeft w:val="0"/>
      <w:marRight w:val="0"/>
      <w:marTop w:val="0"/>
      <w:marBottom w:val="0"/>
      <w:divBdr>
        <w:top w:val="none" w:sz="0" w:space="0" w:color="auto"/>
        <w:left w:val="none" w:sz="0" w:space="0" w:color="auto"/>
        <w:bottom w:val="none" w:sz="0" w:space="0" w:color="auto"/>
        <w:right w:val="none" w:sz="0" w:space="0" w:color="auto"/>
      </w:divBdr>
      <w:divsChild>
        <w:div w:id="2049639247">
          <w:marLeft w:val="0"/>
          <w:marRight w:val="0"/>
          <w:marTop w:val="0"/>
          <w:marBottom w:val="0"/>
          <w:divBdr>
            <w:top w:val="none" w:sz="0" w:space="0" w:color="auto"/>
            <w:left w:val="none" w:sz="0" w:space="0" w:color="auto"/>
            <w:bottom w:val="none" w:sz="0" w:space="0" w:color="auto"/>
            <w:right w:val="none" w:sz="0" w:space="0" w:color="auto"/>
          </w:divBdr>
          <w:divsChild>
            <w:div w:id="1319307084">
              <w:marLeft w:val="0"/>
              <w:marRight w:val="0"/>
              <w:marTop w:val="0"/>
              <w:marBottom w:val="0"/>
              <w:divBdr>
                <w:top w:val="none" w:sz="0" w:space="0" w:color="auto"/>
                <w:left w:val="none" w:sz="0" w:space="0" w:color="auto"/>
                <w:bottom w:val="none" w:sz="0" w:space="0" w:color="auto"/>
                <w:right w:val="none" w:sz="0" w:space="0" w:color="auto"/>
              </w:divBdr>
              <w:divsChild>
                <w:div w:id="1062171791">
                  <w:marLeft w:val="0"/>
                  <w:marRight w:val="0"/>
                  <w:marTop w:val="0"/>
                  <w:marBottom w:val="0"/>
                  <w:divBdr>
                    <w:top w:val="none" w:sz="0" w:space="0" w:color="auto"/>
                    <w:left w:val="none" w:sz="0" w:space="0" w:color="auto"/>
                    <w:bottom w:val="none" w:sz="0" w:space="0" w:color="auto"/>
                    <w:right w:val="none" w:sz="0" w:space="0" w:color="auto"/>
                  </w:divBdr>
                  <w:divsChild>
                    <w:div w:id="8580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D828B-68F0-45E5-8CDA-286589A61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7</Pages>
  <Words>2904</Words>
  <Characters>16558</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benko</dc:creator>
  <cp:lastModifiedBy>benko</cp:lastModifiedBy>
  <cp:revision>325</cp:revision>
  <dcterms:created xsi:type="dcterms:W3CDTF">2014-11-06T16:25:00Z</dcterms:created>
  <dcterms:modified xsi:type="dcterms:W3CDTF">2015-05-03T09:23:00Z</dcterms:modified>
</cp:coreProperties>
</file>