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32" w:rsidRPr="0062701D" w:rsidRDefault="003C1432" w:rsidP="0062701D">
      <w:pPr>
        <w:spacing w:after="100" w:afterAutospacing="1"/>
        <w:jc w:val="center"/>
        <w:rPr>
          <w:b/>
          <w:sz w:val="28"/>
          <w:szCs w:val="28"/>
        </w:rPr>
      </w:pPr>
      <w:r w:rsidRPr="0062701D">
        <w:rPr>
          <w:b/>
          <w:sz w:val="28"/>
          <w:szCs w:val="28"/>
        </w:rPr>
        <w:t xml:space="preserve">Úverovanie. Financovanie prostredníctvom  lízingu. Financovanie prostredníctvom  zmeniek a dlhopisov. Financovanie prostredníctvom  tichého spoločenstva. </w:t>
      </w:r>
      <w:proofErr w:type="spellStart"/>
      <w:r w:rsidRPr="0062701D">
        <w:rPr>
          <w:b/>
          <w:sz w:val="28"/>
          <w:szCs w:val="28"/>
        </w:rPr>
        <w:t>Faktoring</w:t>
      </w:r>
      <w:proofErr w:type="spellEnd"/>
      <w:r w:rsidRPr="0062701D">
        <w:rPr>
          <w:b/>
          <w:sz w:val="28"/>
          <w:szCs w:val="28"/>
        </w:rPr>
        <w:t>. Forfaiting.</w:t>
      </w:r>
    </w:p>
    <w:p w:rsidR="003C1432" w:rsidRPr="0062701D" w:rsidRDefault="003C1432" w:rsidP="003C1432">
      <w:pPr>
        <w:jc w:val="center"/>
        <w:rPr>
          <w:b/>
          <w:sz w:val="28"/>
          <w:szCs w:val="28"/>
        </w:rPr>
      </w:pPr>
      <w:r w:rsidRPr="0062701D">
        <w:rPr>
          <w:b/>
          <w:sz w:val="28"/>
          <w:szCs w:val="28"/>
        </w:rPr>
        <w:t>Prednáška z 7.</w:t>
      </w:r>
      <w:r w:rsidR="0062701D">
        <w:rPr>
          <w:b/>
          <w:sz w:val="28"/>
          <w:szCs w:val="28"/>
        </w:rPr>
        <w:t xml:space="preserve"> mája </w:t>
      </w:r>
      <w:r w:rsidRPr="0062701D">
        <w:rPr>
          <w:b/>
          <w:sz w:val="28"/>
          <w:szCs w:val="28"/>
        </w:rPr>
        <w:t>2020</w:t>
      </w:r>
    </w:p>
    <w:p w:rsidR="003C1432" w:rsidRDefault="003C1432" w:rsidP="003C1432">
      <w:pPr>
        <w:jc w:val="center"/>
        <w:rPr>
          <w:b/>
          <w:szCs w:val="24"/>
        </w:rPr>
      </w:pPr>
    </w:p>
    <w:p w:rsidR="003C1432" w:rsidRDefault="003C1432" w:rsidP="0062701D">
      <w:pPr>
        <w:spacing w:after="120" w:line="276" w:lineRule="auto"/>
        <w:jc w:val="both"/>
        <w:rPr>
          <w:b/>
          <w:szCs w:val="24"/>
        </w:rPr>
      </w:pPr>
      <w:r>
        <w:rPr>
          <w:b/>
          <w:szCs w:val="24"/>
        </w:rPr>
        <w:t>Zmluva o</w:t>
      </w:r>
      <w:r w:rsidR="00AF2F10">
        <w:rPr>
          <w:b/>
          <w:szCs w:val="24"/>
        </w:rPr>
        <w:t> </w:t>
      </w:r>
      <w:r>
        <w:rPr>
          <w:b/>
          <w:szCs w:val="24"/>
        </w:rPr>
        <w:t>úvere</w:t>
      </w:r>
      <w:r w:rsidR="00AF2F10">
        <w:rPr>
          <w:b/>
          <w:szCs w:val="24"/>
        </w:rPr>
        <w:t xml:space="preserve"> (§497-</w:t>
      </w:r>
      <w:r w:rsidR="00316F7B">
        <w:rPr>
          <w:b/>
          <w:szCs w:val="24"/>
        </w:rPr>
        <w:t>§</w:t>
      </w:r>
      <w:r w:rsidR="00AF2F10">
        <w:rPr>
          <w:b/>
          <w:szCs w:val="24"/>
        </w:rPr>
        <w:t>507</w:t>
      </w:r>
      <w:r w:rsidR="00316F7B">
        <w:rPr>
          <w:b/>
          <w:szCs w:val="24"/>
        </w:rPr>
        <w:t xml:space="preserve"> OBZ</w:t>
      </w:r>
      <w:r w:rsidR="00AF2F10">
        <w:rPr>
          <w:b/>
          <w:szCs w:val="24"/>
        </w:rPr>
        <w:t>)</w:t>
      </w:r>
    </w:p>
    <w:p w:rsidR="003C1432" w:rsidRDefault="003C1432" w:rsidP="0062701D">
      <w:pPr>
        <w:spacing w:after="120" w:line="276" w:lineRule="auto"/>
        <w:jc w:val="both"/>
        <w:rPr>
          <w:bCs/>
          <w:szCs w:val="24"/>
        </w:rPr>
      </w:pPr>
      <w:r>
        <w:rPr>
          <w:bCs/>
          <w:szCs w:val="24"/>
        </w:rPr>
        <w:t>- absolútny obchodno-záväzkový vzťah</w:t>
      </w:r>
    </w:p>
    <w:p w:rsidR="003C1432" w:rsidRDefault="003C1432" w:rsidP="0062701D">
      <w:pPr>
        <w:spacing w:after="120" w:line="276" w:lineRule="auto"/>
        <w:jc w:val="both"/>
        <w:rPr>
          <w:bCs/>
          <w:szCs w:val="24"/>
        </w:rPr>
      </w:pPr>
      <w:r>
        <w:rPr>
          <w:bCs/>
          <w:szCs w:val="24"/>
        </w:rPr>
        <w:t>-subjektmi môžu byť podnikatelia, ale aj nepodnikatelia</w:t>
      </w:r>
    </w:p>
    <w:p w:rsidR="00AF2F10" w:rsidRDefault="00AF2F10" w:rsidP="0062701D">
      <w:pPr>
        <w:spacing w:after="120" w:line="276" w:lineRule="auto"/>
        <w:jc w:val="both"/>
        <w:rPr>
          <w:bCs/>
          <w:szCs w:val="24"/>
        </w:rPr>
      </w:pPr>
      <w:r>
        <w:rPr>
          <w:bCs/>
          <w:szCs w:val="24"/>
        </w:rPr>
        <w:t>- to však neplatí, ak ide o spotrebiteľskú úverovú zmluvu (§52 ods. 2 OZ), vtedy je potrebné použiť zákon o spotrebiteľských úveroch</w:t>
      </w:r>
    </w:p>
    <w:p w:rsidR="003C1432" w:rsidRDefault="003C1432" w:rsidP="0062701D">
      <w:pPr>
        <w:spacing w:after="120" w:line="276" w:lineRule="auto"/>
        <w:jc w:val="both"/>
        <w:rPr>
          <w:bCs/>
          <w:szCs w:val="24"/>
        </w:rPr>
      </w:pPr>
      <w:r>
        <w:rPr>
          <w:bCs/>
          <w:szCs w:val="24"/>
        </w:rPr>
        <w:t xml:space="preserve">- kogentné ustanovenie je len </w:t>
      </w:r>
      <w:r w:rsidR="00AF2F10">
        <w:rPr>
          <w:bCs/>
          <w:szCs w:val="24"/>
        </w:rPr>
        <w:t xml:space="preserve">§497 a </w:t>
      </w:r>
      <w:r>
        <w:rPr>
          <w:bCs/>
          <w:szCs w:val="24"/>
        </w:rPr>
        <w:t>§ 499</w:t>
      </w:r>
      <w:r w:rsidR="00AF2F10">
        <w:rPr>
          <w:bCs/>
          <w:szCs w:val="24"/>
        </w:rPr>
        <w:t xml:space="preserve"> OBZ</w:t>
      </w:r>
    </w:p>
    <w:p w:rsidR="003C1432" w:rsidRDefault="003C1432" w:rsidP="0062701D">
      <w:pPr>
        <w:spacing w:after="120" w:line="276" w:lineRule="auto"/>
        <w:jc w:val="both"/>
        <w:rPr>
          <w:bCs/>
          <w:szCs w:val="24"/>
        </w:rPr>
      </w:pPr>
      <w:r>
        <w:rPr>
          <w:bCs/>
          <w:szCs w:val="24"/>
        </w:rPr>
        <w:t>- zmluva má konsenzuálnu povahu</w:t>
      </w:r>
      <w:r w:rsidR="00AF2F10">
        <w:rPr>
          <w:bCs/>
          <w:szCs w:val="24"/>
        </w:rPr>
        <w:t xml:space="preserve"> – vzniká už dohodu zmluvných strán o jej obsahu</w:t>
      </w:r>
    </w:p>
    <w:p w:rsidR="006A2060" w:rsidRDefault="006A2060" w:rsidP="0062701D">
      <w:pPr>
        <w:spacing w:after="120" w:line="276" w:lineRule="auto"/>
        <w:jc w:val="both"/>
        <w:rPr>
          <w:bCs/>
          <w:szCs w:val="24"/>
        </w:rPr>
      </w:pPr>
      <w:r>
        <w:rPr>
          <w:bCs/>
          <w:szCs w:val="24"/>
        </w:rPr>
        <w:t>- o</w:t>
      </w:r>
      <w:r w:rsidRPr="006A2060">
        <w:rPr>
          <w:bCs/>
          <w:szCs w:val="24"/>
        </w:rPr>
        <w:t>d zmluvy o úvere treba odlišovať zmluvu o pôžičke, ktorú upravuje Občiansky zákonník (§ 657 a 658). Ide o reálnu zmluvu, ktorou jedna strana (veriteľ) prenecháva druhej strane (dlžníkovi) veci určené podľa druhu, najmä peniaze, a dlžník sa zaväzuje po uplynutí dohodnutej doby vrátiť veci rovnakého druhu.</w:t>
      </w:r>
    </w:p>
    <w:p w:rsidR="006A2060" w:rsidRDefault="006A2060" w:rsidP="0062701D">
      <w:pPr>
        <w:spacing w:after="120" w:line="276" w:lineRule="auto"/>
        <w:jc w:val="both"/>
        <w:rPr>
          <w:bCs/>
          <w:szCs w:val="24"/>
        </w:rPr>
      </w:pPr>
      <w:r>
        <w:rPr>
          <w:bCs/>
          <w:szCs w:val="24"/>
        </w:rPr>
        <w:t>- z</w:t>
      </w:r>
      <w:r w:rsidRPr="006A2060">
        <w:rPr>
          <w:bCs/>
          <w:szCs w:val="24"/>
        </w:rPr>
        <w:t>mluva o úvere je odplatnou zmluvou, čo vyjadruje záväzok dlžníka platiť úroky za poskytnutie peňažných prostriedkov. Bezúročná zmluva o úvere je pojmovo vylúčená.</w:t>
      </w:r>
    </w:p>
    <w:p w:rsidR="00AF2F10" w:rsidRDefault="00AF2F10" w:rsidP="0062701D">
      <w:pPr>
        <w:spacing w:after="120" w:line="276" w:lineRule="auto"/>
        <w:jc w:val="both"/>
        <w:rPr>
          <w:bCs/>
          <w:szCs w:val="24"/>
        </w:rPr>
      </w:pPr>
      <w:r>
        <w:rPr>
          <w:bCs/>
          <w:szCs w:val="24"/>
        </w:rPr>
        <w:t xml:space="preserve">- zákon o bankách vymedzuje pojem úver ako dočasné poskytnutie peňažných prostriedkov v akejkoľvek forme vrátane </w:t>
      </w:r>
      <w:proofErr w:type="spellStart"/>
      <w:r>
        <w:rPr>
          <w:bCs/>
          <w:szCs w:val="24"/>
        </w:rPr>
        <w:t>faktoringu</w:t>
      </w:r>
      <w:proofErr w:type="spellEnd"/>
      <w:r>
        <w:rPr>
          <w:bCs/>
          <w:szCs w:val="24"/>
        </w:rPr>
        <w:t xml:space="preserve"> a forfaitingu (§5 písm. b)</w:t>
      </w:r>
    </w:p>
    <w:p w:rsidR="00AF2F10" w:rsidRPr="00316F7B" w:rsidRDefault="00AF2F10" w:rsidP="0062701D">
      <w:pPr>
        <w:pStyle w:val="Odsekzoznamu"/>
        <w:numPr>
          <w:ilvl w:val="0"/>
          <w:numId w:val="1"/>
        </w:numPr>
        <w:spacing w:after="120" w:line="276" w:lineRule="auto"/>
        <w:jc w:val="both"/>
        <w:rPr>
          <w:bCs/>
          <w:szCs w:val="24"/>
          <w:u w:val="single"/>
        </w:rPr>
      </w:pPr>
      <w:r w:rsidRPr="00316F7B">
        <w:rPr>
          <w:bCs/>
          <w:szCs w:val="24"/>
          <w:u w:val="single"/>
        </w:rPr>
        <w:t>Podstatné časti zmluvy:</w:t>
      </w:r>
    </w:p>
    <w:p w:rsidR="00AF2F10" w:rsidRDefault="00AF2F10" w:rsidP="0062701D">
      <w:pPr>
        <w:pStyle w:val="Odsekzoznamu"/>
        <w:numPr>
          <w:ilvl w:val="1"/>
          <w:numId w:val="1"/>
        </w:numPr>
        <w:spacing w:after="120" w:line="276" w:lineRule="auto"/>
        <w:jc w:val="both"/>
        <w:rPr>
          <w:bCs/>
          <w:szCs w:val="24"/>
        </w:rPr>
      </w:pPr>
      <w:r>
        <w:rPr>
          <w:bCs/>
          <w:szCs w:val="24"/>
        </w:rPr>
        <w:t> určenie zmluvných strán</w:t>
      </w:r>
    </w:p>
    <w:p w:rsidR="00AF2F10" w:rsidRDefault="00AF2F10" w:rsidP="0062701D">
      <w:pPr>
        <w:pStyle w:val="Odsekzoznamu"/>
        <w:numPr>
          <w:ilvl w:val="1"/>
          <w:numId w:val="1"/>
        </w:numPr>
        <w:spacing w:after="120" w:line="276" w:lineRule="auto"/>
        <w:jc w:val="both"/>
        <w:rPr>
          <w:bCs/>
          <w:szCs w:val="24"/>
        </w:rPr>
      </w:pPr>
      <w:r>
        <w:rPr>
          <w:bCs/>
          <w:szCs w:val="24"/>
        </w:rPr>
        <w:t> určenie výšky úveru</w:t>
      </w:r>
    </w:p>
    <w:p w:rsidR="00AF2F10" w:rsidRDefault="00AF2F10" w:rsidP="0062701D">
      <w:pPr>
        <w:pStyle w:val="Odsekzoznamu"/>
        <w:numPr>
          <w:ilvl w:val="1"/>
          <w:numId w:val="1"/>
        </w:numPr>
        <w:spacing w:after="120" w:line="276" w:lineRule="auto"/>
        <w:jc w:val="both"/>
        <w:rPr>
          <w:bCs/>
          <w:szCs w:val="24"/>
        </w:rPr>
      </w:pPr>
      <w:r>
        <w:rPr>
          <w:bCs/>
          <w:szCs w:val="24"/>
        </w:rPr>
        <w:t> záväzok veriteľa poskytnúť na požiadanie peňažné prostriedky</w:t>
      </w:r>
    </w:p>
    <w:p w:rsidR="00AF2F10" w:rsidRDefault="00AF2F10" w:rsidP="0062701D">
      <w:pPr>
        <w:pStyle w:val="Odsekzoznamu"/>
        <w:numPr>
          <w:ilvl w:val="1"/>
          <w:numId w:val="1"/>
        </w:numPr>
        <w:spacing w:after="120" w:line="276" w:lineRule="auto"/>
        <w:jc w:val="both"/>
        <w:rPr>
          <w:bCs/>
          <w:szCs w:val="24"/>
        </w:rPr>
      </w:pPr>
      <w:r>
        <w:rPr>
          <w:bCs/>
          <w:szCs w:val="24"/>
        </w:rPr>
        <w:t> záväzok dlžníka vrátiť poskytnuté prostriedky a zaplatiť úroky</w:t>
      </w:r>
    </w:p>
    <w:p w:rsidR="00AF2F10" w:rsidRDefault="0062701D" w:rsidP="0062701D">
      <w:pPr>
        <w:spacing w:after="120" w:line="276" w:lineRule="auto"/>
        <w:jc w:val="both"/>
        <w:rPr>
          <w:bCs/>
          <w:szCs w:val="24"/>
        </w:rPr>
      </w:pPr>
      <w:r>
        <w:rPr>
          <w:bCs/>
          <w:szCs w:val="24"/>
        </w:rPr>
        <w:t>- dohoda o platení úrokov je vždy súčasťou zmluvy o úvere</w:t>
      </w:r>
    </w:p>
    <w:p w:rsidR="00AF2F10" w:rsidRDefault="00AF2F10" w:rsidP="0062701D">
      <w:pPr>
        <w:spacing w:after="120" w:line="276" w:lineRule="auto"/>
        <w:jc w:val="both"/>
        <w:rPr>
          <w:bCs/>
          <w:szCs w:val="24"/>
        </w:rPr>
      </w:pPr>
      <w:r>
        <w:rPr>
          <w:bCs/>
          <w:szCs w:val="24"/>
        </w:rPr>
        <w:t>- OBZ nevyžaduje písomnú formu</w:t>
      </w:r>
    </w:p>
    <w:p w:rsidR="00AF2F10" w:rsidRDefault="00AF2F10" w:rsidP="0062701D">
      <w:pPr>
        <w:spacing w:after="120" w:line="276" w:lineRule="auto"/>
        <w:jc w:val="both"/>
        <w:rPr>
          <w:bCs/>
          <w:szCs w:val="24"/>
        </w:rPr>
      </w:pPr>
      <w:r>
        <w:rPr>
          <w:bCs/>
          <w:szCs w:val="24"/>
        </w:rPr>
        <w:t xml:space="preserve">- </w:t>
      </w:r>
      <w:r w:rsidR="0062701D">
        <w:rPr>
          <w:bCs/>
          <w:szCs w:val="24"/>
        </w:rPr>
        <w:t>ak si nedohodli výpovednú dobu, dlžník môže zmluvu vypovedať ihneď a veriteľ</w:t>
      </w:r>
      <w:r>
        <w:rPr>
          <w:bCs/>
          <w:szCs w:val="24"/>
        </w:rPr>
        <w:t xml:space="preserve"> má právo vypovedať zmluvu s účinnosťou ku koncu kalendárneho mesiaca nasledujúceho po mesiaci v ktorom sa doručila výpoveď</w:t>
      </w:r>
    </w:p>
    <w:p w:rsidR="006A2060" w:rsidRDefault="006A2060" w:rsidP="006A2060">
      <w:pPr>
        <w:pStyle w:val="Odsekzoznamu"/>
        <w:numPr>
          <w:ilvl w:val="0"/>
          <w:numId w:val="3"/>
        </w:numPr>
        <w:spacing w:after="120" w:line="276" w:lineRule="auto"/>
        <w:jc w:val="both"/>
        <w:rPr>
          <w:bCs/>
          <w:szCs w:val="24"/>
        </w:rPr>
      </w:pPr>
      <w:r>
        <w:rPr>
          <w:bCs/>
          <w:szCs w:val="24"/>
        </w:rPr>
        <w:t>úrok z úveru a jeho výška:</w:t>
      </w:r>
    </w:p>
    <w:p w:rsidR="006A2060" w:rsidRDefault="006A2060" w:rsidP="006A2060">
      <w:pPr>
        <w:pStyle w:val="Odsekzoznamu"/>
        <w:numPr>
          <w:ilvl w:val="1"/>
          <w:numId w:val="3"/>
        </w:numPr>
        <w:spacing w:after="120" w:line="276" w:lineRule="auto"/>
        <w:jc w:val="both"/>
        <w:rPr>
          <w:bCs/>
          <w:szCs w:val="24"/>
        </w:rPr>
      </w:pPr>
      <w:r w:rsidRPr="006A2060">
        <w:rPr>
          <w:bCs/>
          <w:szCs w:val="24"/>
        </w:rPr>
        <w:t>úrok z úveru je cena peňažných prostriedkov, ktoré poskytovateľ úveru dáva do dispozície toho, kto úver prijíma na dohodnutú dobu</w:t>
      </w:r>
    </w:p>
    <w:p w:rsidR="006A2060" w:rsidRDefault="006A2060" w:rsidP="006A2060">
      <w:pPr>
        <w:pStyle w:val="Odsekzoznamu"/>
        <w:numPr>
          <w:ilvl w:val="1"/>
          <w:numId w:val="3"/>
        </w:numPr>
        <w:spacing w:after="120" w:line="276" w:lineRule="auto"/>
        <w:jc w:val="both"/>
        <w:rPr>
          <w:bCs/>
          <w:szCs w:val="24"/>
        </w:rPr>
      </w:pPr>
      <w:r>
        <w:rPr>
          <w:bCs/>
          <w:szCs w:val="24"/>
        </w:rPr>
        <w:t>z</w:t>
      </w:r>
      <w:r w:rsidRPr="006A2060">
        <w:rPr>
          <w:bCs/>
          <w:szCs w:val="24"/>
        </w:rPr>
        <w:t>áväzok platiť úroky ako odplatu (cenu) za poskytnutie peňažných prostriedkov je podstatnou časťou zmluvy o úvere (§ 497)</w:t>
      </w:r>
    </w:p>
    <w:p w:rsidR="006A2060" w:rsidRDefault="006A2060" w:rsidP="006A2060">
      <w:pPr>
        <w:pStyle w:val="Odsekzoznamu"/>
        <w:numPr>
          <w:ilvl w:val="1"/>
          <w:numId w:val="3"/>
        </w:numPr>
        <w:spacing w:after="120" w:line="276" w:lineRule="auto"/>
        <w:jc w:val="both"/>
        <w:rPr>
          <w:bCs/>
          <w:szCs w:val="24"/>
        </w:rPr>
      </w:pPr>
      <w:r>
        <w:rPr>
          <w:bCs/>
          <w:szCs w:val="24"/>
        </w:rPr>
        <w:t>p</w:t>
      </w:r>
      <w:r w:rsidRPr="006A2060">
        <w:rPr>
          <w:bCs/>
          <w:szCs w:val="24"/>
        </w:rPr>
        <w:t>re vznik zmluvy o úvere zákon nevyžaduje, aby v zmluve bola dohodnutá výška úrokov</w:t>
      </w:r>
    </w:p>
    <w:p w:rsidR="006A2060" w:rsidRDefault="006A2060" w:rsidP="006A2060">
      <w:pPr>
        <w:pStyle w:val="Odsekzoznamu"/>
        <w:numPr>
          <w:ilvl w:val="1"/>
          <w:numId w:val="3"/>
        </w:numPr>
        <w:spacing w:after="120" w:line="276" w:lineRule="auto"/>
        <w:jc w:val="both"/>
        <w:rPr>
          <w:bCs/>
          <w:szCs w:val="24"/>
        </w:rPr>
      </w:pPr>
      <w:r>
        <w:rPr>
          <w:bCs/>
          <w:szCs w:val="24"/>
        </w:rPr>
        <w:lastRenderedPageBreak/>
        <w:t>v</w:t>
      </w:r>
      <w:r w:rsidRPr="006A2060">
        <w:rPr>
          <w:bCs/>
          <w:szCs w:val="24"/>
        </w:rPr>
        <w:t>šeobecne sa uznáva, že pri dojednávaní výšky úrokov treba rešpektovať § 265, v zmysle ktorého výkon práva, ktorý je v rozpore so zásadami poctivého obchodného styku, nepožíva právnu ochranu</w:t>
      </w:r>
    </w:p>
    <w:p w:rsidR="006A2060" w:rsidRPr="006A2060" w:rsidRDefault="006A2060" w:rsidP="006A2060">
      <w:pPr>
        <w:pStyle w:val="Odsekzoznamu"/>
        <w:numPr>
          <w:ilvl w:val="1"/>
          <w:numId w:val="3"/>
        </w:numPr>
        <w:spacing w:after="120" w:line="276" w:lineRule="auto"/>
        <w:jc w:val="both"/>
        <w:rPr>
          <w:bCs/>
          <w:szCs w:val="24"/>
        </w:rPr>
      </w:pPr>
      <w:r>
        <w:rPr>
          <w:bCs/>
          <w:szCs w:val="24"/>
        </w:rPr>
        <w:t>z</w:t>
      </w:r>
      <w:r w:rsidRPr="006A2060">
        <w:rPr>
          <w:bCs/>
          <w:szCs w:val="24"/>
        </w:rPr>
        <w:t xml:space="preserve">a obvyklý úrok treba považovať úrok, ktorý je v praxi bánk prevládajúci, </w:t>
      </w:r>
      <w:proofErr w:type="spellStart"/>
      <w:r w:rsidRPr="006A2060">
        <w:rPr>
          <w:bCs/>
          <w:szCs w:val="24"/>
        </w:rPr>
        <w:t>t.j</w:t>
      </w:r>
      <w:proofErr w:type="spellEnd"/>
      <w:r w:rsidRPr="006A2060">
        <w:rPr>
          <w:bCs/>
          <w:szCs w:val="24"/>
        </w:rPr>
        <w:t>. taký, ktorý sa najčastejšie vyskytuje</w:t>
      </w:r>
    </w:p>
    <w:p w:rsidR="003C1432" w:rsidRDefault="003C1432" w:rsidP="0062701D">
      <w:pPr>
        <w:spacing w:after="120" w:line="276" w:lineRule="auto"/>
        <w:jc w:val="both"/>
        <w:rPr>
          <w:b/>
          <w:szCs w:val="24"/>
        </w:rPr>
      </w:pPr>
      <w:proofErr w:type="spellStart"/>
      <w:r>
        <w:rPr>
          <w:b/>
          <w:szCs w:val="24"/>
        </w:rPr>
        <w:t>Faktoring</w:t>
      </w:r>
      <w:proofErr w:type="spellEnd"/>
    </w:p>
    <w:p w:rsidR="0062701D" w:rsidRDefault="0062701D" w:rsidP="0062701D">
      <w:pPr>
        <w:spacing w:after="120" w:line="276" w:lineRule="auto"/>
        <w:jc w:val="both"/>
        <w:rPr>
          <w:bCs/>
          <w:szCs w:val="24"/>
        </w:rPr>
      </w:pPr>
      <w:r w:rsidRPr="0062701D">
        <w:rPr>
          <w:bCs/>
          <w:szCs w:val="24"/>
        </w:rPr>
        <w:t>-</w:t>
      </w:r>
      <w:r>
        <w:rPr>
          <w:bCs/>
          <w:szCs w:val="24"/>
        </w:rPr>
        <w:t xml:space="preserve"> je financovanie krátkodobých pohľadávok (splatné do 1 roka) z obchodného styku a to tak, že banka odkúpi odberateľské faktúry od odberateľa pred dobou splatnosti, pričom banka poskytne finančné prostriedky do % ich nominálnej hodnoty faktúry pri postúpení pohľadávky na banku </w:t>
      </w:r>
    </w:p>
    <w:p w:rsidR="0062701D" w:rsidRDefault="0062701D" w:rsidP="0062701D">
      <w:pPr>
        <w:spacing w:after="120" w:line="276" w:lineRule="auto"/>
        <w:jc w:val="both"/>
        <w:rPr>
          <w:bCs/>
          <w:szCs w:val="24"/>
        </w:rPr>
      </w:pPr>
      <w:r>
        <w:rPr>
          <w:bCs/>
          <w:szCs w:val="24"/>
        </w:rPr>
        <w:t>- pro tomto zmluvnom vzťahu rozoznávame 2 zmluvné vzťahy – na jednej strane je dodávateľ (má pohľadávky za predaný tovar alebo služby) a ktorý poskytuje odberateľovi obchodný úver. Druhou stranou je faktor, ktorému je vzniknutá pohľadávka postúpená.</w:t>
      </w:r>
    </w:p>
    <w:p w:rsidR="0062701D" w:rsidRDefault="0062701D" w:rsidP="0062701D">
      <w:pPr>
        <w:spacing w:after="120" w:line="276" w:lineRule="auto"/>
        <w:jc w:val="both"/>
        <w:rPr>
          <w:bCs/>
          <w:szCs w:val="24"/>
        </w:rPr>
      </w:pPr>
      <w:r>
        <w:rPr>
          <w:bCs/>
          <w:szCs w:val="24"/>
        </w:rPr>
        <w:t xml:space="preserve">- </w:t>
      </w:r>
      <w:r w:rsidRPr="0062701D">
        <w:rPr>
          <w:bCs/>
          <w:szCs w:val="24"/>
        </w:rPr>
        <w:t>faktor môže na seba prevziať riziko nesplatenia(</w:t>
      </w:r>
      <w:proofErr w:type="spellStart"/>
      <w:r w:rsidRPr="00316F7B">
        <w:rPr>
          <w:bCs/>
          <w:i/>
          <w:iCs/>
          <w:szCs w:val="24"/>
        </w:rPr>
        <w:t>bezregresný</w:t>
      </w:r>
      <w:proofErr w:type="spellEnd"/>
      <w:r w:rsidRPr="00316F7B">
        <w:rPr>
          <w:bCs/>
          <w:i/>
          <w:iCs/>
          <w:szCs w:val="24"/>
        </w:rPr>
        <w:t xml:space="preserve"> </w:t>
      </w:r>
      <w:proofErr w:type="spellStart"/>
      <w:r w:rsidRPr="00316F7B">
        <w:rPr>
          <w:bCs/>
          <w:i/>
          <w:iCs/>
          <w:szCs w:val="24"/>
        </w:rPr>
        <w:t>faktoring</w:t>
      </w:r>
      <w:proofErr w:type="spellEnd"/>
      <w:r w:rsidRPr="0062701D">
        <w:rPr>
          <w:bCs/>
          <w:szCs w:val="24"/>
        </w:rPr>
        <w:t>)alebo toto riziko zostáva u pôvodného veriteľa(</w:t>
      </w:r>
      <w:r w:rsidRPr="00316F7B">
        <w:rPr>
          <w:bCs/>
          <w:i/>
          <w:iCs/>
          <w:szCs w:val="24"/>
        </w:rPr>
        <w:t xml:space="preserve">regresný </w:t>
      </w:r>
      <w:proofErr w:type="spellStart"/>
      <w:r w:rsidRPr="00316F7B">
        <w:rPr>
          <w:bCs/>
          <w:i/>
          <w:iCs/>
          <w:szCs w:val="24"/>
        </w:rPr>
        <w:t>faktoring</w:t>
      </w:r>
      <w:proofErr w:type="spellEnd"/>
      <w:r w:rsidRPr="0062701D">
        <w:rPr>
          <w:bCs/>
          <w:szCs w:val="24"/>
        </w:rPr>
        <w:t>)</w:t>
      </w:r>
    </w:p>
    <w:p w:rsidR="0062701D" w:rsidRPr="0062701D" w:rsidRDefault="0062701D" w:rsidP="0062701D">
      <w:pPr>
        <w:spacing w:after="120" w:line="276" w:lineRule="auto"/>
        <w:jc w:val="both"/>
        <w:rPr>
          <w:bCs/>
          <w:szCs w:val="24"/>
        </w:rPr>
      </w:pPr>
      <w:r>
        <w:rPr>
          <w:bCs/>
          <w:szCs w:val="24"/>
        </w:rPr>
        <w:t xml:space="preserve">- </w:t>
      </w:r>
      <w:r w:rsidRPr="00316F7B">
        <w:rPr>
          <w:bCs/>
          <w:szCs w:val="24"/>
          <w:u w:val="single"/>
        </w:rPr>
        <w:t xml:space="preserve">účelom </w:t>
      </w:r>
      <w:proofErr w:type="spellStart"/>
      <w:r w:rsidRPr="00316F7B">
        <w:rPr>
          <w:bCs/>
          <w:szCs w:val="24"/>
          <w:u w:val="single"/>
        </w:rPr>
        <w:t>faktoringu</w:t>
      </w:r>
      <w:proofErr w:type="spellEnd"/>
      <w:r w:rsidR="00316F7B">
        <w:rPr>
          <w:bCs/>
          <w:szCs w:val="24"/>
        </w:rPr>
        <w:t xml:space="preserve"> </w:t>
      </w:r>
      <w:r w:rsidRPr="0062701D">
        <w:rPr>
          <w:bCs/>
          <w:szCs w:val="24"/>
        </w:rPr>
        <w:t>nie je konečné zbavenie sa pohľadávky, ale získanie financií</w:t>
      </w:r>
      <w:r>
        <w:rPr>
          <w:bCs/>
          <w:szCs w:val="24"/>
        </w:rPr>
        <w:t xml:space="preserve"> </w:t>
      </w:r>
      <w:r w:rsidRPr="0062701D">
        <w:rPr>
          <w:bCs/>
          <w:szCs w:val="24"/>
        </w:rPr>
        <w:t xml:space="preserve">v hodnote pohľadávok </w:t>
      </w:r>
      <w:r>
        <w:rPr>
          <w:bCs/>
          <w:szCs w:val="24"/>
        </w:rPr>
        <w:t>‣</w:t>
      </w:r>
      <w:r w:rsidRPr="0062701D">
        <w:rPr>
          <w:bCs/>
          <w:szCs w:val="24"/>
        </w:rPr>
        <w:t xml:space="preserve"> pôvodný veriteľ už nemá veľké sumy viazané v pohľadávkach </w:t>
      </w:r>
      <w:r>
        <w:rPr>
          <w:bCs/>
          <w:szCs w:val="24"/>
        </w:rPr>
        <w:t>‣</w:t>
      </w:r>
      <w:r w:rsidRPr="0062701D">
        <w:rPr>
          <w:bCs/>
          <w:szCs w:val="24"/>
        </w:rPr>
        <w:t xml:space="preserve"> môže ich používať pre ďalší chod podniku </w:t>
      </w:r>
      <w:r>
        <w:rPr>
          <w:bCs/>
          <w:szCs w:val="24"/>
        </w:rPr>
        <w:t>‣</w:t>
      </w:r>
      <w:r w:rsidRPr="0062701D">
        <w:rPr>
          <w:bCs/>
          <w:szCs w:val="24"/>
        </w:rPr>
        <w:t xml:space="preserve"> za toto platí </w:t>
      </w:r>
      <w:proofErr w:type="spellStart"/>
      <w:r w:rsidRPr="0062701D">
        <w:rPr>
          <w:bCs/>
          <w:szCs w:val="24"/>
        </w:rPr>
        <w:t>faktorovi</w:t>
      </w:r>
      <w:proofErr w:type="spellEnd"/>
      <w:r w:rsidRPr="0062701D">
        <w:rPr>
          <w:bCs/>
          <w:szCs w:val="24"/>
        </w:rPr>
        <w:t xml:space="preserve"> tzv. </w:t>
      </w:r>
      <w:proofErr w:type="spellStart"/>
      <w:r w:rsidRPr="0062701D">
        <w:rPr>
          <w:bCs/>
          <w:szCs w:val="24"/>
        </w:rPr>
        <w:t>faktoringový</w:t>
      </w:r>
      <w:proofErr w:type="spellEnd"/>
      <w:r w:rsidRPr="0062701D">
        <w:rPr>
          <w:bCs/>
          <w:szCs w:val="24"/>
        </w:rPr>
        <w:t xml:space="preserve"> poplatok</w:t>
      </w:r>
    </w:p>
    <w:p w:rsidR="003C1432" w:rsidRDefault="003C1432" w:rsidP="003C1432">
      <w:pPr>
        <w:jc w:val="both"/>
        <w:rPr>
          <w:b/>
          <w:szCs w:val="24"/>
        </w:rPr>
      </w:pPr>
    </w:p>
    <w:p w:rsidR="003C1432" w:rsidRDefault="003C1432" w:rsidP="00CD6B5B">
      <w:pPr>
        <w:spacing w:after="120" w:line="276" w:lineRule="auto"/>
        <w:jc w:val="both"/>
        <w:rPr>
          <w:b/>
          <w:szCs w:val="24"/>
        </w:rPr>
      </w:pPr>
      <w:r>
        <w:rPr>
          <w:b/>
          <w:szCs w:val="24"/>
        </w:rPr>
        <w:t>Forfaiting</w:t>
      </w:r>
    </w:p>
    <w:p w:rsidR="00CD6B5B" w:rsidRDefault="00CD6B5B" w:rsidP="00CD6B5B">
      <w:pPr>
        <w:spacing w:after="120" w:line="276" w:lineRule="auto"/>
        <w:jc w:val="both"/>
        <w:rPr>
          <w:bCs/>
          <w:szCs w:val="24"/>
        </w:rPr>
      </w:pPr>
      <w:r w:rsidRPr="00CD6B5B">
        <w:rPr>
          <w:bCs/>
          <w:szCs w:val="24"/>
        </w:rPr>
        <w:t>-</w:t>
      </w:r>
      <w:r w:rsidRPr="00CD6B5B">
        <w:rPr>
          <w:bCs/>
          <w:szCs w:val="24"/>
        </w:rPr>
        <w:t xml:space="preserve">podobá sa na </w:t>
      </w:r>
      <w:proofErr w:type="spellStart"/>
      <w:r w:rsidRPr="00CD6B5B">
        <w:rPr>
          <w:bCs/>
          <w:szCs w:val="24"/>
        </w:rPr>
        <w:t>faktoring</w:t>
      </w:r>
      <w:proofErr w:type="spellEnd"/>
      <w:r w:rsidRPr="00CD6B5B">
        <w:rPr>
          <w:bCs/>
          <w:szCs w:val="24"/>
        </w:rPr>
        <w:t>, ale ide o postúpenie strednodobých a dlhodobých pohľadávok</w:t>
      </w:r>
      <w:r>
        <w:rPr>
          <w:bCs/>
          <w:szCs w:val="24"/>
        </w:rPr>
        <w:t xml:space="preserve"> (</w:t>
      </w:r>
      <w:r w:rsidRPr="00CD6B5B">
        <w:rPr>
          <w:bCs/>
          <w:szCs w:val="24"/>
        </w:rPr>
        <w:t>splatnosť nad 1 rok</w:t>
      </w:r>
      <w:r>
        <w:rPr>
          <w:bCs/>
          <w:szCs w:val="24"/>
        </w:rPr>
        <w:t>)</w:t>
      </w:r>
    </w:p>
    <w:p w:rsidR="00CD6B5B" w:rsidRDefault="00CD6B5B" w:rsidP="00CD6B5B">
      <w:pPr>
        <w:spacing w:after="120" w:line="276" w:lineRule="auto"/>
        <w:jc w:val="both"/>
        <w:rPr>
          <w:bCs/>
          <w:szCs w:val="24"/>
        </w:rPr>
      </w:pPr>
      <w:r>
        <w:rPr>
          <w:bCs/>
          <w:szCs w:val="24"/>
        </w:rPr>
        <w:t>-ide o nákup v budúcnosti splatných účtovných alebo zmenkových pohľadávok so zrieknutím sa spätného postihu v prípade, ak dlžník nezaplatí (</w:t>
      </w:r>
      <w:proofErr w:type="spellStart"/>
      <w:r>
        <w:rPr>
          <w:bCs/>
          <w:szCs w:val="24"/>
        </w:rPr>
        <w:t>forfaitér</w:t>
      </w:r>
      <w:proofErr w:type="spellEnd"/>
      <w:r>
        <w:rPr>
          <w:bCs/>
          <w:szCs w:val="24"/>
        </w:rPr>
        <w:t xml:space="preserve"> preberá na seba riziko nezaplatenia)</w:t>
      </w:r>
    </w:p>
    <w:p w:rsidR="00CD6B5B" w:rsidRPr="00CD6B5B" w:rsidRDefault="00CD6B5B" w:rsidP="00CD6B5B">
      <w:pPr>
        <w:spacing w:after="120" w:line="276" w:lineRule="auto"/>
        <w:jc w:val="both"/>
        <w:rPr>
          <w:bCs/>
          <w:szCs w:val="24"/>
        </w:rPr>
      </w:pPr>
      <w:r>
        <w:rPr>
          <w:bCs/>
          <w:szCs w:val="24"/>
        </w:rPr>
        <w:t>- základom je napr. kúpna zmluva medzi exportérom ako predávajúcim pohľadávky a bankou ako kupujúcim pohľadávky (</w:t>
      </w:r>
      <w:proofErr w:type="spellStart"/>
      <w:r>
        <w:rPr>
          <w:bCs/>
          <w:szCs w:val="24"/>
        </w:rPr>
        <w:t>forfaitér</w:t>
      </w:r>
      <w:proofErr w:type="spellEnd"/>
      <w:r>
        <w:rPr>
          <w:bCs/>
          <w:szCs w:val="24"/>
        </w:rPr>
        <w:t>)</w:t>
      </w:r>
    </w:p>
    <w:p w:rsidR="008F3870" w:rsidRDefault="008F3870" w:rsidP="00CD6B5B">
      <w:pPr>
        <w:spacing w:after="120" w:line="276" w:lineRule="auto"/>
      </w:pPr>
    </w:p>
    <w:p w:rsidR="000C7276" w:rsidRPr="00CD6B5B" w:rsidRDefault="00CD6B5B" w:rsidP="00CD6B5B">
      <w:pPr>
        <w:spacing w:after="120" w:line="276" w:lineRule="auto"/>
        <w:rPr>
          <w:b/>
          <w:bCs/>
        </w:rPr>
      </w:pPr>
      <w:r w:rsidRPr="00CD6B5B">
        <w:rPr>
          <w:b/>
          <w:bCs/>
        </w:rPr>
        <w:t>Zmluva o tichom spoločenstve</w:t>
      </w:r>
      <w:r w:rsidR="000C7276">
        <w:rPr>
          <w:b/>
          <w:bCs/>
        </w:rPr>
        <w:t xml:space="preserve"> (§673-§681 OBZ)</w:t>
      </w:r>
    </w:p>
    <w:p w:rsidR="00CD6B5B" w:rsidRDefault="00CD6B5B" w:rsidP="00CD6B5B">
      <w:pPr>
        <w:spacing w:after="120" w:line="276" w:lineRule="auto"/>
        <w:rPr>
          <w:color w:val="000000"/>
          <w:shd w:val="clear" w:color="auto" w:fill="FFFFFF"/>
        </w:rPr>
      </w:pPr>
      <w:r w:rsidRPr="000C7276">
        <w:t>-</w:t>
      </w:r>
      <w:r w:rsidR="000C7276" w:rsidRPr="000C7276">
        <w:rPr>
          <w:color w:val="000000"/>
          <w:shd w:val="clear" w:color="auto" w:fill="FFFFFF"/>
        </w:rPr>
        <w:t> je nesubjektívnou formou spoluúčasti viacerých subjektov na podnikaní. </w:t>
      </w:r>
    </w:p>
    <w:p w:rsidR="000C7276" w:rsidRDefault="000C7276" w:rsidP="00CD6B5B">
      <w:pPr>
        <w:spacing w:after="120" w:line="276" w:lineRule="auto"/>
        <w:rPr>
          <w:color w:val="000000"/>
          <w:shd w:val="clear" w:color="auto" w:fill="FFFFFF"/>
        </w:rPr>
      </w:pPr>
      <w:r>
        <w:rPr>
          <w:color w:val="000000"/>
          <w:shd w:val="clear" w:color="auto" w:fill="FFFFFF"/>
        </w:rPr>
        <w:t xml:space="preserve">- </w:t>
      </w:r>
      <w:r>
        <w:rPr>
          <w:bCs/>
          <w:szCs w:val="24"/>
        </w:rPr>
        <w:t>absolútny obchodno-záväzkový vzťah</w:t>
      </w:r>
    </w:p>
    <w:p w:rsidR="000C7276" w:rsidRDefault="000C7276" w:rsidP="000C7276">
      <w:pPr>
        <w:spacing w:after="120" w:line="276" w:lineRule="auto"/>
        <w:jc w:val="both"/>
        <w:rPr>
          <w:color w:val="000000"/>
          <w:shd w:val="clear" w:color="auto" w:fill="FFFFFF"/>
        </w:rPr>
      </w:pPr>
      <w:r w:rsidRPr="000C7276">
        <w:rPr>
          <w:color w:val="000000"/>
          <w:shd w:val="clear" w:color="auto" w:fill="FFFFFF"/>
        </w:rPr>
        <w:t>-</w:t>
      </w:r>
      <w:r w:rsidRPr="000C7276">
        <w:rPr>
          <w:color w:val="000000"/>
          <w:shd w:val="clear" w:color="auto" w:fill="FFFFFF"/>
        </w:rPr>
        <w:t>predstavuje záväzkovo-právny vzťah medzi podnikateľom a tichým spoločníkom, v rámci ktorého sa tichý spoločník zaväzuje podieľať sa na podnikateľskej činnosti podnikateľa určitým vkladom, a podnikateľ sa zaväzuje vyplatiť mu určitý podiel na čistom zisku dosiahnutom pri výkone svojej podnikateľskej činnosti</w:t>
      </w:r>
      <w:r w:rsidR="005A55E3">
        <w:rPr>
          <w:color w:val="000000"/>
          <w:shd w:val="clear" w:color="auto" w:fill="FFFFFF"/>
        </w:rPr>
        <w:t xml:space="preserve"> .... podľa NS SR </w:t>
      </w:r>
      <w:proofErr w:type="spellStart"/>
      <w:r w:rsidR="005A55E3">
        <w:rPr>
          <w:color w:val="000000"/>
          <w:shd w:val="clear" w:color="auto" w:fill="FFFFFF"/>
        </w:rPr>
        <w:t>sp.zn</w:t>
      </w:r>
      <w:proofErr w:type="spellEnd"/>
      <w:r w:rsidR="005A55E3">
        <w:rPr>
          <w:color w:val="000000"/>
          <w:shd w:val="clear" w:color="auto" w:fill="FFFFFF"/>
        </w:rPr>
        <w:t xml:space="preserve">. </w:t>
      </w:r>
      <w:r w:rsidR="005A55E3" w:rsidRPr="005A55E3">
        <w:rPr>
          <w:color w:val="000000"/>
          <w:shd w:val="clear" w:color="auto" w:fill="FFFFFF"/>
        </w:rPr>
        <w:t>R 104/1999</w:t>
      </w:r>
      <w:r w:rsidR="005A55E3">
        <w:rPr>
          <w:color w:val="000000"/>
          <w:shd w:val="clear" w:color="auto" w:fill="FFFFFF"/>
        </w:rPr>
        <w:t>:</w:t>
      </w:r>
      <w:r w:rsidR="005A55E3" w:rsidRPr="005A55E3">
        <w:t xml:space="preserve"> </w:t>
      </w:r>
      <w:r w:rsidR="005A55E3">
        <w:t>„</w:t>
      </w:r>
      <w:r w:rsidR="005A55E3" w:rsidRPr="005A55E3">
        <w:rPr>
          <w:i/>
          <w:iCs/>
          <w:color w:val="000000"/>
          <w:shd w:val="clear" w:color="auto" w:fill="FFFFFF"/>
        </w:rPr>
        <w:t>Ak nie je v zmluve o tichom spoločenstve určená výška zisku, vyplývajúca z podielu tichého spoločníka na výsledku podnikania, ktorú sa podnikateľ zaväzuje platiť tichému spoločníkovi, nedôjde k jej vzniku, pretože v zmluve chýba podstatná časť</w:t>
      </w:r>
      <w:r w:rsidR="005A55E3" w:rsidRPr="005A55E3">
        <w:rPr>
          <w:i/>
          <w:iCs/>
          <w:color w:val="000000"/>
          <w:shd w:val="clear" w:color="auto" w:fill="FFFFFF"/>
        </w:rPr>
        <w:t>.</w:t>
      </w:r>
      <w:r w:rsidR="005A55E3">
        <w:rPr>
          <w:color w:val="000000"/>
          <w:shd w:val="clear" w:color="auto" w:fill="FFFFFF"/>
        </w:rPr>
        <w:t>“</w:t>
      </w:r>
    </w:p>
    <w:p w:rsidR="005A55E3" w:rsidRDefault="005A55E3" w:rsidP="000C7276">
      <w:pPr>
        <w:spacing w:after="120" w:line="276" w:lineRule="auto"/>
        <w:jc w:val="both"/>
        <w:rPr>
          <w:color w:val="000000"/>
          <w:shd w:val="clear" w:color="auto" w:fill="FFFFFF"/>
        </w:rPr>
      </w:pPr>
      <w:r>
        <w:rPr>
          <w:color w:val="000000"/>
          <w:shd w:val="clear" w:color="auto" w:fill="FFFFFF"/>
        </w:rPr>
        <w:t>- výška podielu tichého spoločníka na zisku sa určuje podielom alebo zlomkom, dôležité je že musí byť v zmluve určená</w:t>
      </w:r>
    </w:p>
    <w:p w:rsidR="000C7276" w:rsidRDefault="000C7276" w:rsidP="000C7276">
      <w:pPr>
        <w:spacing w:after="120" w:line="276" w:lineRule="auto"/>
        <w:jc w:val="both"/>
        <w:rPr>
          <w:color w:val="000000"/>
          <w:shd w:val="clear" w:color="auto" w:fill="FFFFFF"/>
        </w:rPr>
      </w:pPr>
      <w:r>
        <w:rPr>
          <w:color w:val="000000"/>
          <w:shd w:val="clear" w:color="auto" w:fill="FFFFFF"/>
        </w:rPr>
        <w:lastRenderedPageBreak/>
        <w:t>- zmluva vyžaduje písomnú formu</w:t>
      </w:r>
    </w:p>
    <w:p w:rsidR="000C7276" w:rsidRDefault="000C7276" w:rsidP="000C7276">
      <w:pPr>
        <w:spacing w:after="120" w:line="276" w:lineRule="auto"/>
        <w:jc w:val="both"/>
        <w:rPr>
          <w:color w:val="000000"/>
          <w:shd w:val="clear" w:color="auto" w:fill="FFFFFF"/>
        </w:rPr>
      </w:pPr>
      <w:r>
        <w:rPr>
          <w:color w:val="000000"/>
          <w:shd w:val="clear" w:color="auto" w:fill="FFFFFF"/>
        </w:rPr>
        <w:t>- tichým spoločníkom môže byť podnikateľ aj nepodnikateľ</w:t>
      </w:r>
    </w:p>
    <w:p w:rsidR="000C7276" w:rsidRPr="000C7276" w:rsidRDefault="000C7276" w:rsidP="000C7276">
      <w:pPr>
        <w:spacing w:after="120" w:line="276" w:lineRule="auto"/>
        <w:jc w:val="both"/>
        <w:rPr>
          <w:shd w:val="clear" w:color="auto" w:fill="FFFFFF"/>
        </w:rPr>
      </w:pPr>
      <w:r w:rsidRPr="000C7276">
        <w:rPr>
          <w:shd w:val="clear" w:color="auto" w:fill="FFFFFF"/>
        </w:rPr>
        <w:t xml:space="preserve">- </w:t>
      </w:r>
      <w:r>
        <w:rPr>
          <w:shd w:val="clear" w:color="auto" w:fill="FFFFFF"/>
        </w:rPr>
        <w:t>z</w:t>
      </w:r>
      <w:r w:rsidRPr="000C7276">
        <w:rPr>
          <w:shd w:val="clear" w:color="auto" w:fill="FFFFFF"/>
        </w:rPr>
        <w:t>mluva o tichom spoločenstve sa v mnohých znakoch podobá zmluve o úvere alebo zmluve o pôžičke podľa Občianskeho zákonníka</w:t>
      </w:r>
    </w:p>
    <w:p w:rsidR="000C7276" w:rsidRDefault="000C7276" w:rsidP="000C7276">
      <w:pPr>
        <w:spacing w:after="120" w:line="276" w:lineRule="auto"/>
        <w:jc w:val="both"/>
        <w:rPr>
          <w:color w:val="000000"/>
          <w:shd w:val="clear" w:color="auto" w:fill="FFFFFF"/>
        </w:rPr>
      </w:pPr>
      <w:r w:rsidRPr="000C7276">
        <w:rPr>
          <w:color w:val="000000"/>
          <w:shd w:val="clear" w:color="auto" w:fill="FFFFFF"/>
        </w:rPr>
        <w:t xml:space="preserve">- </w:t>
      </w:r>
      <w:r>
        <w:rPr>
          <w:color w:val="000000"/>
          <w:shd w:val="clear" w:color="auto" w:fill="FFFFFF"/>
        </w:rPr>
        <w:t>o</w:t>
      </w:r>
      <w:r w:rsidRPr="000C7276">
        <w:rPr>
          <w:color w:val="000000"/>
          <w:shd w:val="clear" w:color="auto" w:fill="FFFFFF"/>
        </w:rPr>
        <w:t>d týchto zmlúv sa však zásadne odlišuje tým, že tichý spoločník poskytuje svoj kapitál za účelom jeho znásobenia, nielen s cieľom podielu na zisku, ale aj s rizikom, že k dosiahnutiu očakávaného zisku nedôjde, a tichý spoločník bude musieť spolu s podnikateľom znášať aj následky vykázanej straty.</w:t>
      </w:r>
    </w:p>
    <w:p w:rsidR="005A55E3" w:rsidRDefault="005A55E3" w:rsidP="000C7276">
      <w:pPr>
        <w:spacing w:after="120" w:line="276" w:lineRule="auto"/>
        <w:jc w:val="both"/>
        <w:rPr>
          <w:color w:val="000000"/>
          <w:shd w:val="clear" w:color="auto" w:fill="FFFFFF"/>
        </w:rPr>
      </w:pPr>
      <w:r>
        <w:rPr>
          <w:color w:val="000000"/>
          <w:shd w:val="clear" w:color="auto" w:fill="FFFFFF"/>
        </w:rPr>
        <w:t>- predmetom v</w:t>
      </w:r>
      <w:r w:rsidRPr="005A55E3">
        <w:rPr>
          <w:color w:val="000000"/>
          <w:shd w:val="clear" w:color="auto" w:fill="FFFFFF"/>
        </w:rPr>
        <w:t xml:space="preserve">klad tichého spoločníka môže </w:t>
      </w:r>
      <w:r>
        <w:rPr>
          <w:color w:val="000000"/>
          <w:shd w:val="clear" w:color="auto" w:fill="FFFFFF"/>
        </w:rPr>
        <w:t xml:space="preserve">byť určitá peňažná suma, určitá vec (stavba, stroj) alebo iná majetková hodnota (napr. </w:t>
      </w:r>
      <w:proofErr w:type="spellStart"/>
      <w:r>
        <w:rPr>
          <w:color w:val="000000"/>
          <w:shd w:val="clear" w:color="auto" w:fill="FFFFFF"/>
        </w:rPr>
        <w:t>know</w:t>
      </w:r>
      <w:proofErr w:type="spellEnd"/>
      <w:r>
        <w:rPr>
          <w:color w:val="000000"/>
          <w:shd w:val="clear" w:color="auto" w:fill="FFFFFF"/>
        </w:rPr>
        <w:t xml:space="preserve"> </w:t>
      </w:r>
      <w:proofErr w:type="spellStart"/>
      <w:r>
        <w:rPr>
          <w:color w:val="000000"/>
          <w:shd w:val="clear" w:color="auto" w:fill="FFFFFF"/>
        </w:rPr>
        <w:t>how</w:t>
      </w:r>
      <w:proofErr w:type="spellEnd"/>
      <w:r>
        <w:rPr>
          <w:color w:val="000000"/>
          <w:shd w:val="clear" w:color="auto" w:fill="FFFFFF"/>
        </w:rPr>
        <w:t>)</w:t>
      </w:r>
    </w:p>
    <w:p w:rsidR="005A55E3" w:rsidRDefault="005A55E3" w:rsidP="005A55E3">
      <w:pPr>
        <w:pStyle w:val="Odsekzoznamu"/>
        <w:numPr>
          <w:ilvl w:val="0"/>
          <w:numId w:val="1"/>
        </w:numPr>
        <w:spacing w:after="120" w:line="276" w:lineRule="auto"/>
        <w:jc w:val="both"/>
        <w:rPr>
          <w:color w:val="000000"/>
          <w:shd w:val="clear" w:color="auto" w:fill="FFFFFF"/>
        </w:rPr>
      </w:pPr>
      <w:r>
        <w:rPr>
          <w:color w:val="000000"/>
          <w:shd w:val="clear" w:color="auto" w:fill="FFFFFF"/>
        </w:rPr>
        <w:t>ručenie tichého spoločníka</w:t>
      </w:r>
    </w:p>
    <w:p w:rsidR="005A55E3" w:rsidRDefault="005A55E3" w:rsidP="005A55E3">
      <w:pPr>
        <w:pStyle w:val="Odsekzoznamu"/>
        <w:numPr>
          <w:ilvl w:val="1"/>
          <w:numId w:val="1"/>
        </w:numPr>
        <w:spacing w:after="120" w:line="276" w:lineRule="auto"/>
        <w:jc w:val="both"/>
        <w:rPr>
          <w:color w:val="000000"/>
          <w:shd w:val="clear" w:color="auto" w:fill="FFFFFF"/>
        </w:rPr>
      </w:pPr>
      <w:r>
        <w:rPr>
          <w:color w:val="000000"/>
          <w:shd w:val="clear" w:color="auto" w:fill="FFFFFF"/>
        </w:rPr>
        <w:t> aj jeho meno je obsiahnuté v obchodnom mene podnikateľa</w:t>
      </w:r>
    </w:p>
    <w:p w:rsidR="005A55E3" w:rsidRDefault="005A55E3" w:rsidP="005A55E3">
      <w:pPr>
        <w:pStyle w:val="Odsekzoznamu"/>
        <w:numPr>
          <w:ilvl w:val="1"/>
          <w:numId w:val="1"/>
        </w:numPr>
        <w:spacing w:after="120" w:line="276" w:lineRule="auto"/>
        <w:jc w:val="both"/>
        <w:rPr>
          <w:color w:val="000000"/>
          <w:shd w:val="clear" w:color="auto" w:fill="FFFFFF"/>
        </w:rPr>
      </w:pPr>
      <w:r>
        <w:rPr>
          <w:color w:val="000000"/>
          <w:shd w:val="clear" w:color="auto" w:fill="FFFFFF"/>
        </w:rPr>
        <w:t> vyhlási osobe, s ktorou rokuje podnikateľ o uzavretí zmluvy, že obaja podnikajú spoločne</w:t>
      </w:r>
    </w:p>
    <w:p w:rsidR="005A55E3" w:rsidRDefault="005A55E3" w:rsidP="005A55E3">
      <w:pPr>
        <w:spacing w:after="120" w:line="276" w:lineRule="auto"/>
        <w:jc w:val="both"/>
        <w:rPr>
          <w:color w:val="000000"/>
          <w:shd w:val="clear" w:color="auto" w:fill="FFFFFF"/>
        </w:rPr>
      </w:pPr>
      <w:r>
        <w:rPr>
          <w:color w:val="000000"/>
          <w:shd w:val="clear" w:color="auto" w:fill="FFFFFF"/>
        </w:rPr>
        <w:t>- pre určenie podielu tichého spoločníka na výsledku podnikania je rozhodná ročná účtovná závierka (vznik nároku na podiel na zisku mu vzniká do 30 dní po vyhotovení ročnej účtovnej závierky)</w:t>
      </w:r>
    </w:p>
    <w:p w:rsidR="005A55E3" w:rsidRDefault="005A55E3" w:rsidP="005A55E3">
      <w:pPr>
        <w:spacing w:after="120" w:line="276" w:lineRule="auto"/>
        <w:jc w:val="both"/>
        <w:rPr>
          <w:color w:val="000000"/>
          <w:shd w:val="clear" w:color="auto" w:fill="FFFFFF"/>
        </w:rPr>
      </w:pPr>
      <w:r>
        <w:rPr>
          <w:color w:val="000000"/>
          <w:shd w:val="clear" w:color="auto" w:fill="FFFFFF"/>
        </w:rPr>
        <w:t>- tichý spoločník sa nepodieľa len na zisku ale aj strate</w:t>
      </w:r>
    </w:p>
    <w:p w:rsidR="005A55E3" w:rsidRDefault="005A55E3" w:rsidP="005A55E3">
      <w:pPr>
        <w:pStyle w:val="Odsekzoznamu"/>
        <w:numPr>
          <w:ilvl w:val="0"/>
          <w:numId w:val="1"/>
        </w:numPr>
        <w:spacing w:after="120" w:line="276" w:lineRule="auto"/>
        <w:jc w:val="both"/>
        <w:rPr>
          <w:color w:val="000000"/>
          <w:shd w:val="clear" w:color="auto" w:fill="FFFFFF"/>
        </w:rPr>
      </w:pPr>
      <w:r>
        <w:rPr>
          <w:color w:val="000000"/>
          <w:shd w:val="clear" w:color="auto" w:fill="FFFFFF"/>
        </w:rPr>
        <w:t>účasť tichého spoločníka na podnikaní zaniká:</w:t>
      </w:r>
    </w:p>
    <w:p w:rsidR="005A55E3" w:rsidRDefault="005A55E3" w:rsidP="005A55E3">
      <w:pPr>
        <w:pStyle w:val="Odsekzoznamu"/>
        <w:numPr>
          <w:ilvl w:val="1"/>
          <w:numId w:val="1"/>
        </w:numPr>
        <w:spacing w:after="120" w:line="276" w:lineRule="auto"/>
        <w:jc w:val="both"/>
        <w:rPr>
          <w:color w:val="000000"/>
          <w:shd w:val="clear" w:color="auto" w:fill="FFFFFF"/>
        </w:rPr>
      </w:pPr>
      <w:r>
        <w:rPr>
          <w:color w:val="000000"/>
          <w:shd w:val="clear" w:color="auto" w:fill="FFFFFF"/>
        </w:rPr>
        <w:t> uplynutím doby, na ktorú bola zmluva uzatvorená</w:t>
      </w:r>
    </w:p>
    <w:p w:rsidR="005A55E3" w:rsidRDefault="005A55E3" w:rsidP="005A55E3">
      <w:pPr>
        <w:pStyle w:val="Odsekzoznamu"/>
        <w:numPr>
          <w:ilvl w:val="1"/>
          <w:numId w:val="1"/>
        </w:numPr>
        <w:spacing w:after="120" w:line="276" w:lineRule="auto"/>
        <w:jc w:val="both"/>
        <w:rPr>
          <w:color w:val="000000"/>
          <w:shd w:val="clear" w:color="auto" w:fill="FFFFFF"/>
        </w:rPr>
      </w:pPr>
      <w:r>
        <w:rPr>
          <w:color w:val="000000"/>
          <w:shd w:val="clear" w:color="auto" w:fill="FFFFFF"/>
        </w:rPr>
        <w:t> výpoveďou, ak nebola zmluva uzatvorená na dobu určitú</w:t>
      </w:r>
    </w:p>
    <w:p w:rsidR="005A55E3" w:rsidRDefault="005A55E3" w:rsidP="005A55E3">
      <w:pPr>
        <w:pStyle w:val="Odsekzoznamu"/>
        <w:numPr>
          <w:ilvl w:val="1"/>
          <w:numId w:val="1"/>
        </w:numPr>
        <w:spacing w:after="120" w:line="276" w:lineRule="auto"/>
        <w:jc w:val="both"/>
        <w:rPr>
          <w:color w:val="000000"/>
          <w:shd w:val="clear" w:color="auto" w:fill="FFFFFF"/>
        </w:rPr>
      </w:pPr>
      <w:r>
        <w:rPr>
          <w:color w:val="000000"/>
          <w:shd w:val="clear" w:color="auto" w:fill="FFFFFF"/>
        </w:rPr>
        <w:t> ak dosiahne podiel tichého spoločníka na strate výšku jeho vkladu</w:t>
      </w:r>
    </w:p>
    <w:p w:rsidR="005A55E3" w:rsidRDefault="005A55E3" w:rsidP="005A55E3">
      <w:pPr>
        <w:pStyle w:val="Odsekzoznamu"/>
        <w:numPr>
          <w:ilvl w:val="1"/>
          <w:numId w:val="1"/>
        </w:numPr>
        <w:spacing w:after="120" w:line="276" w:lineRule="auto"/>
        <w:jc w:val="both"/>
        <w:rPr>
          <w:color w:val="000000"/>
          <w:shd w:val="clear" w:color="auto" w:fill="FFFFFF"/>
        </w:rPr>
      </w:pPr>
      <w:r>
        <w:rPr>
          <w:color w:val="000000"/>
          <w:shd w:val="clear" w:color="auto" w:fill="FFFFFF"/>
        </w:rPr>
        <w:t> ukončením podnikania, na ktoré sa zmluva vzťahuje</w:t>
      </w:r>
    </w:p>
    <w:p w:rsidR="005A55E3" w:rsidRDefault="005A55E3" w:rsidP="005A55E3">
      <w:pPr>
        <w:pStyle w:val="Odsekzoznamu"/>
        <w:numPr>
          <w:ilvl w:val="1"/>
          <w:numId w:val="1"/>
        </w:numPr>
        <w:spacing w:after="120" w:line="276" w:lineRule="auto"/>
        <w:jc w:val="both"/>
        <w:rPr>
          <w:color w:val="000000"/>
          <w:shd w:val="clear" w:color="auto" w:fill="FFFFFF"/>
        </w:rPr>
      </w:pPr>
      <w:r>
        <w:rPr>
          <w:color w:val="000000"/>
          <w:shd w:val="clear" w:color="auto" w:fill="FFFFFF"/>
        </w:rPr>
        <w:t xml:space="preserve"> vyhlásením konkurzu na majetok podnikateľa alebo zamietnutím návrhu na vyhlásenie konkurzu pre nedostatok majetku </w:t>
      </w:r>
    </w:p>
    <w:p w:rsidR="005C648F" w:rsidRDefault="005C648F" w:rsidP="005C648F">
      <w:pPr>
        <w:spacing w:after="120" w:line="276" w:lineRule="auto"/>
        <w:jc w:val="both"/>
        <w:rPr>
          <w:color w:val="000000"/>
          <w:shd w:val="clear" w:color="auto" w:fill="FFFFFF"/>
        </w:rPr>
      </w:pPr>
      <w:r>
        <w:rPr>
          <w:color w:val="000000"/>
          <w:shd w:val="clear" w:color="auto" w:fill="FFFFFF"/>
        </w:rPr>
        <w:t>- ak účasť tichému spoločníkovi zanikne, je podnikateľ povinný vrátiť tichému spoločníkovi vklad zvýšený alebo znížený o jeho podiel na výsledku podnikania do 30 dní po zániku zmluvy</w:t>
      </w:r>
    </w:p>
    <w:p w:rsidR="00433E9E" w:rsidRDefault="00433E9E" w:rsidP="005C648F">
      <w:pPr>
        <w:spacing w:after="120" w:line="276" w:lineRule="auto"/>
        <w:jc w:val="both"/>
        <w:rPr>
          <w:color w:val="000000"/>
          <w:shd w:val="clear" w:color="auto" w:fill="FFFFFF"/>
        </w:rPr>
      </w:pPr>
    </w:p>
    <w:p w:rsidR="00433E9E" w:rsidRPr="00BE60B7" w:rsidRDefault="00433E9E" w:rsidP="005C648F">
      <w:pPr>
        <w:spacing w:after="120" w:line="276" w:lineRule="auto"/>
        <w:jc w:val="both"/>
        <w:rPr>
          <w:b/>
          <w:bCs/>
          <w:color w:val="000000"/>
          <w:shd w:val="clear" w:color="auto" w:fill="FFFFFF"/>
        </w:rPr>
      </w:pPr>
      <w:r w:rsidRPr="00BE60B7">
        <w:rPr>
          <w:b/>
          <w:bCs/>
          <w:color w:val="000000"/>
          <w:shd w:val="clear" w:color="auto" w:fill="FFFFFF"/>
        </w:rPr>
        <w:t>Zmenka</w:t>
      </w:r>
    </w:p>
    <w:p w:rsidR="00433E9E" w:rsidRDefault="00433E9E" w:rsidP="005C648F">
      <w:pPr>
        <w:spacing w:after="120" w:line="276" w:lineRule="auto"/>
        <w:jc w:val="both"/>
        <w:rPr>
          <w:color w:val="000000"/>
          <w:shd w:val="clear" w:color="auto" w:fill="FFFFFF"/>
        </w:rPr>
      </w:pPr>
      <w:r>
        <w:rPr>
          <w:color w:val="000000"/>
          <w:shd w:val="clear" w:color="auto" w:fill="FFFFFF"/>
        </w:rPr>
        <w:t>-</w:t>
      </w:r>
      <w:r w:rsidRPr="00433E9E">
        <w:t xml:space="preserve"> </w:t>
      </w:r>
      <w:r w:rsidRPr="00433E9E">
        <w:rPr>
          <w:color w:val="000000"/>
          <w:shd w:val="clear" w:color="auto" w:fill="FFFFFF"/>
        </w:rPr>
        <w:t>je cenný papier, ktorého právna úprava je obsiahnutá v samostatnom zmenkovom a šekovom zákone</w:t>
      </w:r>
    </w:p>
    <w:p w:rsidR="00433E9E" w:rsidRDefault="00433E9E" w:rsidP="005C648F">
      <w:pPr>
        <w:spacing w:after="120" w:line="276" w:lineRule="auto"/>
        <w:jc w:val="both"/>
        <w:rPr>
          <w:color w:val="000000"/>
          <w:shd w:val="clear" w:color="auto" w:fill="FFFFFF"/>
        </w:rPr>
      </w:pPr>
      <w:r>
        <w:rPr>
          <w:color w:val="000000"/>
          <w:shd w:val="clear" w:color="auto" w:fill="FFFFFF"/>
        </w:rPr>
        <w:t xml:space="preserve">- </w:t>
      </w:r>
      <w:r w:rsidRPr="00433E9E">
        <w:rPr>
          <w:color w:val="000000"/>
          <w:shd w:val="clear" w:color="auto" w:fill="FFFFFF"/>
        </w:rPr>
        <w:t>je listinný cenný papier</w:t>
      </w:r>
      <w:r w:rsidRPr="00433E9E">
        <w:t xml:space="preserve"> </w:t>
      </w:r>
      <w:r w:rsidRPr="00433E9E">
        <w:rPr>
          <w:color w:val="000000"/>
          <w:shd w:val="clear" w:color="auto" w:fill="FFFFFF"/>
        </w:rPr>
        <w:t>vyznačujúci sa striktným formalizmom</w:t>
      </w:r>
    </w:p>
    <w:p w:rsidR="00433E9E" w:rsidRDefault="00433E9E" w:rsidP="005C648F">
      <w:pPr>
        <w:spacing w:after="120" w:line="276" w:lineRule="auto"/>
        <w:jc w:val="both"/>
        <w:rPr>
          <w:color w:val="000000"/>
          <w:shd w:val="clear" w:color="auto" w:fill="FFFFFF"/>
        </w:rPr>
      </w:pPr>
      <w:r>
        <w:rPr>
          <w:color w:val="000000"/>
          <w:shd w:val="clear" w:color="auto" w:fill="FFFFFF"/>
        </w:rPr>
        <w:t>-</w:t>
      </w:r>
      <w:r w:rsidRPr="00433E9E">
        <w:t xml:space="preserve"> </w:t>
      </w:r>
      <w:r>
        <w:rPr>
          <w:color w:val="000000"/>
          <w:shd w:val="clear" w:color="auto" w:fill="FFFFFF"/>
        </w:rPr>
        <w:t>z</w:t>
      </w:r>
      <w:r w:rsidRPr="00433E9E">
        <w:rPr>
          <w:color w:val="000000"/>
          <w:shd w:val="clear" w:color="auto" w:fill="FFFFFF"/>
        </w:rPr>
        <w:t>menka je zo zákona cenným papierom na rad, čo umožňuje jej ľahkú prevoditeľnosť</w:t>
      </w:r>
    </w:p>
    <w:p w:rsidR="00433E9E" w:rsidRDefault="00433E9E" w:rsidP="005C648F">
      <w:pPr>
        <w:spacing w:after="120" w:line="276" w:lineRule="auto"/>
        <w:jc w:val="both"/>
        <w:rPr>
          <w:color w:val="000000"/>
          <w:shd w:val="clear" w:color="auto" w:fill="FFFFFF"/>
        </w:rPr>
      </w:pPr>
      <w:r>
        <w:rPr>
          <w:color w:val="000000"/>
          <w:shd w:val="clear" w:color="auto" w:fill="FFFFFF"/>
        </w:rPr>
        <w:t>- p</w:t>
      </w:r>
      <w:r w:rsidRPr="00433E9E">
        <w:rPr>
          <w:color w:val="000000"/>
          <w:shd w:val="clear" w:color="auto" w:fill="FFFFFF"/>
        </w:rPr>
        <w:t xml:space="preserve">revod zmenky môže byť vykonaný jednoduchým </w:t>
      </w:r>
      <w:r>
        <w:rPr>
          <w:color w:val="000000"/>
          <w:shd w:val="clear" w:color="auto" w:fill="FFFFFF"/>
        </w:rPr>
        <w:t>písomným</w:t>
      </w:r>
      <w:r w:rsidRPr="00433E9E">
        <w:rPr>
          <w:color w:val="000000"/>
          <w:shd w:val="clear" w:color="auto" w:fill="FFFFFF"/>
        </w:rPr>
        <w:t xml:space="preserve"> vyhlásením, indosamentom umiestneným na zmenkovej listine a nevyžaduje už iný právny titul. Prevodný účinok indosamentu nastane odovzdaním zmenky jej nadobúdateľovi</w:t>
      </w:r>
      <w:r w:rsidR="00BE60B7">
        <w:rPr>
          <w:color w:val="000000"/>
          <w:shd w:val="clear" w:color="auto" w:fill="FFFFFF"/>
        </w:rPr>
        <w:t xml:space="preserve"> (indosant- osoba, ktorá prevádza zmenku a indosatár – osoba, na ktorú sa prevádzajú práva zo zmenky)</w:t>
      </w:r>
    </w:p>
    <w:p w:rsidR="00BE60B7" w:rsidRDefault="00BE60B7" w:rsidP="005C648F">
      <w:pPr>
        <w:spacing w:after="120" w:line="276" w:lineRule="auto"/>
        <w:jc w:val="both"/>
        <w:rPr>
          <w:color w:val="000000"/>
          <w:shd w:val="clear" w:color="auto" w:fill="FFFFFF"/>
        </w:rPr>
      </w:pPr>
      <w:r>
        <w:rPr>
          <w:color w:val="000000"/>
          <w:shd w:val="clear" w:color="auto" w:fill="FFFFFF"/>
        </w:rPr>
        <w:lastRenderedPageBreak/>
        <w:t>- v prípade ak vystaviteľ zmenky do nej uvedie slová „nie na rad“ možno previesť len cesiou (podľa §524 OZ)</w:t>
      </w:r>
    </w:p>
    <w:p w:rsidR="00433E9E" w:rsidRDefault="00433E9E" w:rsidP="00433E9E">
      <w:pPr>
        <w:pStyle w:val="Odsekzoznamu"/>
        <w:numPr>
          <w:ilvl w:val="0"/>
          <w:numId w:val="1"/>
        </w:numPr>
        <w:spacing w:after="120" w:line="276" w:lineRule="auto"/>
        <w:jc w:val="both"/>
        <w:rPr>
          <w:color w:val="000000"/>
          <w:shd w:val="clear" w:color="auto" w:fill="FFFFFF"/>
        </w:rPr>
      </w:pPr>
      <w:r>
        <w:rPr>
          <w:color w:val="000000"/>
          <w:shd w:val="clear" w:color="auto" w:fill="FFFFFF"/>
        </w:rPr>
        <w:t>cudzia zmenka musí obsahovať:</w:t>
      </w:r>
    </w:p>
    <w:p w:rsidR="00433E9E" w:rsidRPr="00433E9E" w:rsidRDefault="00433E9E" w:rsidP="00433E9E">
      <w:pPr>
        <w:pStyle w:val="Odsekzoznamu"/>
        <w:numPr>
          <w:ilvl w:val="1"/>
          <w:numId w:val="1"/>
        </w:numPr>
        <w:spacing w:after="120" w:line="276" w:lineRule="auto"/>
        <w:jc w:val="both"/>
        <w:rPr>
          <w:color w:val="000000"/>
          <w:shd w:val="clear" w:color="auto" w:fill="FFFFFF"/>
        </w:rPr>
      </w:pPr>
      <w:r w:rsidRPr="00433E9E">
        <w:rPr>
          <w:color w:val="000000"/>
          <w:shd w:val="clear" w:color="auto" w:fill="FFFFFF"/>
        </w:rPr>
        <w:t>označenie, že ide o zmenku, zahrnuté do vlastného textu listiny</w:t>
      </w:r>
    </w:p>
    <w:p w:rsidR="00433E9E" w:rsidRPr="00433E9E" w:rsidRDefault="00433E9E" w:rsidP="00433E9E">
      <w:pPr>
        <w:pStyle w:val="Odsekzoznamu"/>
        <w:spacing w:after="120" w:line="276" w:lineRule="auto"/>
        <w:ind w:left="1440"/>
        <w:jc w:val="both"/>
        <w:rPr>
          <w:color w:val="000000"/>
          <w:shd w:val="clear" w:color="auto" w:fill="FFFFFF"/>
        </w:rPr>
      </w:pPr>
      <w:r w:rsidRPr="00433E9E">
        <w:rPr>
          <w:color w:val="000000"/>
          <w:shd w:val="clear" w:color="auto" w:fill="FFFFFF"/>
        </w:rPr>
        <w:t>a vyjadrené v jazyku, v ktorom je táto listina spísaná,</w:t>
      </w:r>
    </w:p>
    <w:p w:rsidR="00433E9E" w:rsidRPr="00433E9E" w:rsidRDefault="00433E9E" w:rsidP="00433E9E">
      <w:pPr>
        <w:pStyle w:val="Odsekzoznamu"/>
        <w:numPr>
          <w:ilvl w:val="1"/>
          <w:numId w:val="1"/>
        </w:numPr>
        <w:spacing w:after="120" w:line="276" w:lineRule="auto"/>
        <w:jc w:val="both"/>
        <w:rPr>
          <w:color w:val="000000"/>
          <w:shd w:val="clear" w:color="auto" w:fill="FFFFFF"/>
        </w:rPr>
      </w:pPr>
      <w:r w:rsidRPr="00433E9E">
        <w:rPr>
          <w:color w:val="000000"/>
          <w:shd w:val="clear" w:color="auto" w:fill="FFFFFF"/>
        </w:rPr>
        <w:t>bezpodmienečný príkaz zaplatiť určitú peňažnú sumu,</w:t>
      </w:r>
    </w:p>
    <w:p w:rsidR="00433E9E" w:rsidRPr="00433E9E" w:rsidRDefault="00433E9E" w:rsidP="00433E9E">
      <w:pPr>
        <w:pStyle w:val="Odsekzoznamu"/>
        <w:numPr>
          <w:ilvl w:val="1"/>
          <w:numId w:val="1"/>
        </w:numPr>
        <w:spacing w:after="120" w:line="276" w:lineRule="auto"/>
        <w:jc w:val="both"/>
        <w:rPr>
          <w:color w:val="000000"/>
          <w:shd w:val="clear" w:color="auto" w:fill="FFFFFF"/>
        </w:rPr>
      </w:pPr>
      <w:r w:rsidRPr="00433E9E">
        <w:rPr>
          <w:color w:val="000000"/>
          <w:shd w:val="clear" w:color="auto" w:fill="FFFFFF"/>
        </w:rPr>
        <w:t>meno toho, kto má platiť (zmenkovníka ),</w:t>
      </w:r>
    </w:p>
    <w:p w:rsidR="00433E9E" w:rsidRPr="00433E9E" w:rsidRDefault="00433E9E" w:rsidP="00433E9E">
      <w:pPr>
        <w:pStyle w:val="Odsekzoznamu"/>
        <w:numPr>
          <w:ilvl w:val="1"/>
          <w:numId w:val="1"/>
        </w:numPr>
        <w:spacing w:after="120" w:line="276" w:lineRule="auto"/>
        <w:jc w:val="both"/>
        <w:rPr>
          <w:color w:val="000000"/>
          <w:shd w:val="clear" w:color="auto" w:fill="FFFFFF"/>
        </w:rPr>
      </w:pPr>
      <w:r w:rsidRPr="00433E9E">
        <w:rPr>
          <w:color w:val="000000"/>
          <w:shd w:val="clear" w:color="auto" w:fill="FFFFFF"/>
        </w:rPr>
        <w:t>údaj o zročnosti (splatnosti),</w:t>
      </w:r>
    </w:p>
    <w:p w:rsidR="00433E9E" w:rsidRPr="00433E9E" w:rsidRDefault="00433E9E" w:rsidP="00433E9E">
      <w:pPr>
        <w:pStyle w:val="Odsekzoznamu"/>
        <w:numPr>
          <w:ilvl w:val="1"/>
          <w:numId w:val="1"/>
        </w:numPr>
        <w:spacing w:after="120" w:line="276" w:lineRule="auto"/>
        <w:jc w:val="both"/>
        <w:rPr>
          <w:color w:val="000000"/>
          <w:shd w:val="clear" w:color="auto" w:fill="FFFFFF"/>
        </w:rPr>
      </w:pPr>
      <w:r w:rsidRPr="00433E9E">
        <w:rPr>
          <w:color w:val="000000"/>
          <w:shd w:val="clear" w:color="auto" w:fill="FFFFFF"/>
        </w:rPr>
        <w:t>údaj o mieste, kde sa má platiť,</w:t>
      </w:r>
    </w:p>
    <w:p w:rsidR="00433E9E" w:rsidRPr="00433E9E" w:rsidRDefault="00433E9E" w:rsidP="00433E9E">
      <w:pPr>
        <w:pStyle w:val="Odsekzoznamu"/>
        <w:numPr>
          <w:ilvl w:val="1"/>
          <w:numId w:val="1"/>
        </w:numPr>
        <w:spacing w:after="120" w:line="276" w:lineRule="auto"/>
        <w:jc w:val="both"/>
        <w:rPr>
          <w:color w:val="000000"/>
          <w:shd w:val="clear" w:color="auto" w:fill="FFFFFF"/>
        </w:rPr>
      </w:pPr>
      <w:r w:rsidRPr="00433E9E">
        <w:rPr>
          <w:color w:val="000000"/>
          <w:shd w:val="clear" w:color="auto" w:fill="FFFFFF"/>
        </w:rPr>
        <w:t>meno toho, komu alebo na rad koho sa má platiť,</w:t>
      </w:r>
    </w:p>
    <w:p w:rsidR="00433E9E" w:rsidRPr="00433E9E" w:rsidRDefault="00433E9E" w:rsidP="00433E9E">
      <w:pPr>
        <w:pStyle w:val="Odsekzoznamu"/>
        <w:numPr>
          <w:ilvl w:val="1"/>
          <w:numId w:val="1"/>
        </w:numPr>
        <w:spacing w:after="120" w:line="276" w:lineRule="auto"/>
        <w:jc w:val="both"/>
        <w:rPr>
          <w:color w:val="000000"/>
          <w:shd w:val="clear" w:color="auto" w:fill="FFFFFF"/>
        </w:rPr>
      </w:pPr>
      <w:r w:rsidRPr="00433E9E">
        <w:rPr>
          <w:color w:val="000000"/>
          <w:shd w:val="clear" w:color="auto" w:fill="FFFFFF"/>
        </w:rPr>
        <w:t>dátum a miesto vystavenia zmenky,</w:t>
      </w:r>
    </w:p>
    <w:p w:rsidR="00433E9E" w:rsidRPr="00433E9E" w:rsidRDefault="00433E9E" w:rsidP="00433E9E">
      <w:pPr>
        <w:pStyle w:val="Odsekzoznamu"/>
        <w:numPr>
          <w:ilvl w:val="1"/>
          <w:numId w:val="1"/>
        </w:numPr>
        <w:spacing w:after="120" w:line="276" w:lineRule="auto"/>
        <w:jc w:val="both"/>
        <w:rPr>
          <w:color w:val="000000"/>
          <w:shd w:val="clear" w:color="auto" w:fill="FFFFFF"/>
        </w:rPr>
      </w:pPr>
      <w:r w:rsidRPr="00433E9E">
        <w:rPr>
          <w:color w:val="000000"/>
          <w:shd w:val="clear" w:color="auto" w:fill="FFFFFF"/>
        </w:rPr>
        <w:t>podpis vystaviteľa.</w:t>
      </w:r>
    </w:p>
    <w:p w:rsidR="00BE60B7" w:rsidRPr="00BE60B7" w:rsidRDefault="00BE60B7" w:rsidP="00BE60B7">
      <w:pPr>
        <w:spacing w:after="120" w:line="276" w:lineRule="auto"/>
        <w:jc w:val="both"/>
        <w:rPr>
          <w:color w:val="000000"/>
          <w:shd w:val="clear" w:color="auto" w:fill="FFFFFF"/>
        </w:rPr>
      </w:pPr>
      <w:r>
        <w:rPr>
          <w:color w:val="000000"/>
          <w:shd w:val="clear" w:color="auto" w:fill="FFFFFF"/>
        </w:rPr>
        <w:t>- c</w:t>
      </w:r>
      <w:r w:rsidRPr="00BE60B7">
        <w:rPr>
          <w:color w:val="000000"/>
          <w:shd w:val="clear" w:color="auto" w:fill="FFFFFF"/>
        </w:rPr>
        <w:t>udzia zmenka v súlade so zákonnou úpravou nemusí bezpodmienečne obsahovať:</w:t>
      </w:r>
    </w:p>
    <w:p w:rsidR="00BE60B7" w:rsidRPr="00BE60B7" w:rsidRDefault="00BE60B7" w:rsidP="00BE60B7">
      <w:pPr>
        <w:spacing w:after="120" w:line="276" w:lineRule="auto"/>
        <w:ind w:firstLine="708"/>
        <w:jc w:val="both"/>
        <w:rPr>
          <w:color w:val="000000"/>
          <w:shd w:val="clear" w:color="auto" w:fill="FFFFFF"/>
        </w:rPr>
      </w:pPr>
      <w:r w:rsidRPr="00BE60B7">
        <w:rPr>
          <w:color w:val="000000"/>
          <w:shd w:val="clear" w:color="auto" w:fill="FFFFFF"/>
        </w:rPr>
        <w:t>-</w:t>
      </w:r>
      <w:r>
        <w:rPr>
          <w:color w:val="000000"/>
          <w:shd w:val="clear" w:color="auto" w:fill="FFFFFF"/>
        </w:rPr>
        <w:t xml:space="preserve"> </w:t>
      </w:r>
      <w:r w:rsidRPr="00BE60B7">
        <w:rPr>
          <w:color w:val="000000"/>
          <w:shd w:val="clear" w:color="auto" w:fill="FFFFFF"/>
        </w:rPr>
        <w:t>údaj o splatnosti, lebo podľa zákonnej fikcie bude splatná na videnie,</w:t>
      </w:r>
    </w:p>
    <w:p w:rsidR="00BE60B7" w:rsidRPr="00BE60B7" w:rsidRDefault="00BE60B7" w:rsidP="00BE60B7">
      <w:pPr>
        <w:spacing w:after="120" w:line="276" w:lineRule="auto"/>
        <w:ind w:left="708"/>
        <w:jc w:val="both"/>
        <w:rPr>
          <w:color w:val="000000"/>
          <w:shd w:val="clear" w:color="auto" w:fill="FFFFFF"/>
        </w:rPr>
      </w:pPr>
      <w:r w:rsidRPr="00BE60B7">
        <w:rPr>
          <w:color w:val="000000"/>
          <w:shd w:val="clear" w:color="auto" w:fill="FFFFFF"/>
        </w:rPr>
        <w:t>-</w:t>
      </w:r>
      <w:r>
        <w:rPr>
          <w:color w:val="000000"/>
          <w:shd w:val="clear" w:color="auto" w:fill="FFFFFF"/>
        </w:rPr>
        <w:t xml:space="preserve"> </w:t>
      </w:r>
      <w:r w:rsidRPr="00BE60B7">
        <w:rPr>
          <w:color w:val="000000"/>
          <w:shd w:val="clear" w:color="auto" w:fill="FFFFFF"/>
        </w:rPr>
        <w:t>údaj o platobnom mieste, keďže zákon ustanovuje, že ním je miesto</w:t>
      </w:r>
      <w:r>
        <w:rPr>
          <w:color w:val="000000"/>
          <w:shd w:val="clear" w:color="auto" w:fill="FFFFFF"/>
        </w:rPr>
        <w:t xml:space="preserve"> </w:t>
      </w:r>
      <w:r w:rsidRPr="00BE60B7">
        <w:rPr>
          <w:color w:val="000000"/>
          <w:shd w:val="clear" w:color="auto" w:fill="FFFFFF"/>
        </w:rPr>
        <w:t>uvedené pri mene zmenkovníka, ktoré zároveň platí ako miesto bydliska zmenkovníka,</w:t>
      </w:r>
    </w:p>
    <w:p w:rsidR="00433E9E" w:rsidRDefault="00BE60B7" w:rsidP="00BE60B7">
      <w:pPr>
        <w:spacing w:after="120" w:line="276" w:lineRule="auto"/>
        <w:ind w:left="708"/>
        <w:jc w:val="both"/>
        <w:rPr>
          <w:color w:val="000000"/>
          <w:shd w:val="clear" w:color="auto" w:fill="FFFFFF"/>
        </w:rPr>
      </w:pPr>
      <w:r w:rsidRPr="00BE60B7">
        <w:rPr>
          <w:color w:val="000000"/>
          <w:shd w:val="clear" w:color="auto" w:fill="FFFFFF"/>
        </w:rPr>
        <w:t>-</w:t>
      </w:r>
      <w:r>
        <w:rPr>
          <w:color w:val="000000"/>
          <w:shd w:val="clear" w:color="auto" w:fill="FFFFFF"/>
        </w:rPr>
        <w:t xml:space="preserve"> </w:t>
      </w:r>
      <w:r w:rsidRPr="00BE60B7">
        <w:rPr>
          <w:color w:val="000000"/>
          <w:shd w:val="clear" w:color="auto" w:fill="FFFFFF"/>
        </w:rPr>
        <w:t>miesto vystavenia zmenky, lebo ak ho niet, platí, že je ním miesto</w:t>
      </w:r>
      <w:r>
        <w:rPr>
          <w:color w:val="000000"/>
          <w:shd w:val="clear" w:color="auto" w:fill="FFFFFF"/>
        </w:rPr>
        <w:t xml:space="preserve"> </w:t>
      </w:r>
      <w:r w:rsidRPr="00BE60B7">
        <w:rPr>
          <w:color w:val="000000"/>
          <w:shd w:val="clear" w:color="auto" w:fill="FFFFFF"/>
        </w:rPr>
        <w:t>uvedené pri mene vystaviteľa.</w:t>
      </w:r>
    </w:p>
    <w:p w:rsidR="00BE60B7" w:rsidRDefault="00BE60B7" w:rsidP="00BE60B7">
      <w:pPr>
        <w:spacing w:after="120" w:line="276" w:lineRule="auto"/>
        <w:jc w:val="both"/>
        <w:rPr>
          <w:color w:val="000000"/>
          <w:shd w:val="clear" w:color="auto" w:fill="FFFFFF"/>
        </w:rPr>
      </w:pPr>
      <w:r>
        <w:rPr>
          <w:color w:val="000000"/>
          <w:shd w:val="clear" w:color="auto" w:fill="FFFFFF"/>
        </w:rPr>
        <w:t>- v</w:t>
      </w:r>
      <w:r w:rsidRPr="00BE60B7">
        <w:rPr>
          <w:color w:val="000000"/>
          <w:shd w:val="clear" w:color="auto" w:fill="FFFFFF"/>
        </w:rPr>
        <w:t>lastná zmenka sa neodlišuje od cudzej zmenky povahou v nej inkorporovaného práva</w:t>
      </w:r>
    </w:p>
    <w:p w:rsidR="00BE60B7" w:rsidRDefault="00BE60B7" w:rsidP="00BE60B7">
      <w:pPr>
        <w:spacing w:after="120" w:line="276" w:lineRule="auto"/>
        <w:jc w:val="both"/>
        <w:rPr>
          <w:color w:val="000000"/>
          <w:shd w:val="clear" w:color="auto" w:fill="FFFFFF"/>
        </w:rPr>
      </w:pPr>
      <w:r>
        <w:rPr>
          <w:color w:val="000000"/>
          <w:shd w:val="clear" w:color="auto" w:fill="FFFFFF"/>
        </w:rPr>
        <w:t>- r</w:t>
      </w:r>
      <w:r w:rsidRPr="00BE60B7">
        <w:rPr>
          <w:color w:val="000000"/>
          <w:shd w:val="clear" w:color="auto" w:fill="FFFFFF"/>
        </w:rPr>
        <w:t>ozdiel medzi nimi spočíva v</w:t>
      </w:r>
      <w:r>
        <w:rPr>
          <w:color w:val="000000"/>
          <w:shd w:val="clear" w:color="auto" w:fill="FFFFFF"/>
        </w:rPr>
        <w:t> </w:t>
      </w:r>
      <w:r w:rsidRPr="00BE60B7">
        <w:rPr>
          <w:color w:val="000000"/>
          <w:shd w:val="clear" w:color="auto" w:fill="FFFFFF"/>
        </w:rPr>
        <w:t>obsahu</w:t>
      </w:r>
      <w:r>
        <w:rPr>
          <w:color w:val="000000"/>
          <w:shd w:val="clear" w:color="auto" w:fill="FFFFFF"/>
        </w:rPr>
        <w:t>:</w:t>
      </w:r>
      <w:r w:rsidRPr="00BE60B7">
        <w:rPr>
          <w:color w:val="000000"/>
          <w:shd w:val="clear" w:color="auto" w:fill="FFFFFF"/>
        </w:rPr>
        <w:t xml:space="preserve"> </w:t>
      </w:r>
      <w:r>
        <w:rPr>
          <w:color w:val="000000"/>
          <w:shd w:val="clear" w:color="auto" w:fill="FFFFFF"/>
        </w:rPr>
        <w:t>k</w:t>
      </w:r>
      <w:r w:rsidRPr="00BE60B7">
        <w:rPr>
          <w:color w:val="000000"/>
          <w:shd w:val="clear" w:color="auto" w:fill="FFFFFF"/>
        </w:rPr>
        <w:t>ým cudzia zmenka znie na bezpodmienečný príkaz zaplatiť určitú peňažnú sumu, ktorý je adresovaný zmenkovníkovi, vo vlastnej zmenke sa bezpodmienečne zaväzuje zaplatiť určitú sumu priamo jej vystaviteľ</w:t>
      </w:r>
    </w:p>
    <w:p w:rsidR="00BE60B7" w:rsidRDefault="00BE60B7" w:rsidP="00BE60B7">
      <w:pPr>
        <w:spacing w:after="120" w:line="276" w:lineRule="auto"/>
        <w:jc w:val="both"/>
        <w:rPr>
          <w:color w:val="000000"/>
          <w:shd w:val="clear" w:color="auto" w:fill="FFFFFF"/>
        </w:rPr>
      </w:pPr>
      <w:r>
        <w:rPr>
          <w:color w:val="000000"/>
          <w:shd w:val="clear" w:color="auto" w:fill="FFFFFF"/>
        </w:rPr>
        <w:t xml:space="preserve">- </w:t>
      </w:r>
      <w:r w:rsidRPr="00BE60B7">
        <w:rPr>
          <w:color w:val="000000"/>
          <w:u w:val="single"/>
          <w:shd w:val="clear" w:color="auto" w:fill="FFFFFF"/>
        </w:rPr>
        <w:t>premlčanie práv</w:t>
      </w:r>
      <w:r>
        <w:rPr>
          <w:color w:val="000000"/>
          <w:shd w:val="clear" w:color="auto" w:fill="FFFFFF"/>
        </w:rPr>
        <w:t xml:space="preserve"> zo zmenky: § 70 ZZ: </w:t>
      </w:r>
    </w:p>
    <w:p w:rsidR="00BE60B7" w:rsidRDefault="00BE60B7" w:rsidP="00BE60B7">
      <w:pPr>
        <w:pStyle w:val="Odsekzoznamu"/>
        <w:numPr>
          <w:ilvl w:val="0"/>
          <w:numId w:val="1"/>
        </w:numPr>
        <w:spacing w:after="120" w:line="276" w:lineRule="auto"/>
        <w:jc w:val="both"/>
        <w:rPr>
          <w:color w:val="000000"/>
          <w:shd w:val="clear" w:color="auto" w:fill="FFFFFF"/>
        </w:rPr>
      </w:pPr>
      <w:proofErr w:type="spellStart"/>
      <w:r w:rsidRPr="00BE60B7">
        <w:rPr>
          <w:color w:val="000000"/>
          <w:shd w:val="clear" w:color="auto" w:fill="FFFFFF"/>
        </w:rPr>
        <w:t>Zmenečné</w:t>
      </w:r>
      <w:proofErr w:type="spellEnd"/>
      <w:r w:rsidRPr="00BE60B7">
        <w:rPr>
          <w:color w:val="000000"/>
          <w:shd w:val="clear" w:color="auto" w:fill="FFFFFF"/>
        </w:rPr>
        <w:t xml:space="preserve"> nároky proti prijímateľovi sa </w:t>
      </w:r>
      <w:proofErr w:type="spellStart"/>
      <w:r w:rsidRPr="00BE60B7">
        <w:rPr>
          <w:color w:val="000000"/>
          <w:shd w:val="clear" w:color="auto" w:fill="FFFFFF"/>
        </w:rPr>
        <w:t>premlčujú</w:t>
      </w:r>
      <w:proofErr w:type="spellEnd"/>
      <w:r w:rsidRPr="00BE60B7">
        <w:rPr>
          <w:color w:val="000000"/>
          <w:shd w:val="clear" w:color="auto" w:fill="FFFFFF"/>
        </w:rPr>
        <w:t xml:space="preserve"> v troch rokoch odo dňa </w:t>
      </w:r>
      <w:proofErr w:type="spellStart"/>
      <w:r w:rsidRPr="00BE60B7">
        <w:rPr>
          <w:color w:val="000000"/>
          <w:shd w:val="clear" w:color="auto" w:fill="FFFFFF"/>
        </w:rPr>
        <w:t>sročnosti</w:t>
      </w:r>
      <w:proofErr w:type="spellEnd"/>
      <w:r w:rsidRPr="00BE60B7">
        <w:rPr>
          <w:color w:val="000000"/>
          <w:shd w:val="clear" w:color="auto" w:fill="FFFFFF"/>
        </w:rPr>
        <w:t xml:space="preserve"> zmenky</w:t>
      </w:r>
    </w:p>
    <w:p w:rsidR="00BE60B7" w:rsidRDefault="00BE60B7" w:rsidP="00BE60B7">
      <w:pPr>
        <w:pStyle w:val="Odsekzoznamu"/>
        <w:numPr>
          <w:ilvl w:val="0"/>
          <w:numId w:val="1"/>
        </w:numPr>
        <w:spacing w:after="120" w:line="276" w:lineRule="auto"/>
        <w:jc w:val="both"/>
        <w:rPr>
          <w:color w:val="000000"/>
          <w:shd w:val="clear" w:color="auto" w:fill="FFFFFF"/>
        </w:rPr>
      </w:pPr>
      <w:r w:rsidRPr="00BE60B7">
        <w:rPr>
          <w:color w:val="000000"/>
          <w:shd w:val="clear" w:color="auto" w:fill="FFFFFF"/>
        </w:rPr>
        <w:t xml:space="preserve">Nároky majiteľa proti indosantom a proti vystaviteľovi sa </w:t>
      </w:r>
      <w:proofErr w:type="spellStart"/>
      <w:r w:rsidRPr="00BE60B7">
        <w:rPr>
          <w:color w:val="000000"/>
          <w:shd w:val="clear" w:color="auto" w:fill="FFFFFF"/>
        </w:rPr>
        <w:t>premlčujú</w:t>
      </w:r>
      <w:proofErr w:type="spellEnd"/>
      <w:r w:rsidRPr="00BE60B7">
        <w:rPr>
          <w:color w:val="000000"/>
          <w:shd w:val="clear" w:color="auto" w:fill="FFFFFF"/>
        </w:rPr>
        <w:t xml:space="preserve"> v jednom roku od dáta protestu včas urobeného alebo pri doložke „bez trov“ v jednom roku odo dňa </w:t>
      </w:r>
      <w:proofErr w:type="spellStart"/>
      <w:r w:rsidRPr="00BE60B7">
        <w:rPr>
          <w:color w:val="000000"/>
          <w:shd w:val="clear" w:color="auto" w:fill="FFFFFF"/>
        </w:rPr>
        <w:t>sročnosti</w:t>
      </w:r>
      <w:proofErr w:type="spellEnd"/>
      <w:r w:rsidRPr="00BE60B7">
        <w:rPr>
          <w:color w:val="000000"/>
          <w:shd w:val="clear" w:color="auto" w:fill="FFFFFF"/>
        </w:rPr>
        <w:t xml:space="preserve"> zmenky.</w:t>
      </w:r>
    </w:p>
    <w:p w:rsidR="00BE60B7" w:rsidRDefault="00BE60B7" w:rsidP="00BE60B7">
      <w:pPr>
        <w:pStyle w:val="Odsekzoznamu"/>
        <w:numPr>
          <w:ilvl w:val="0"/>
          <w:numId w:val="1"/>
        </w:numPr>
        <w:spacing w:after="120" w:line="276" w:lineRule="auto"/>
        <w:jc w:val="both"/>
        <w:rPr>
          <w:color w:val="000000"/>
          <w:shd w:val="clear" w:color="auto" w:fill="FFFFFF"/>
        </w:rPr>
      </w:pPr>
      <w:r w:rsidRPr="00BE60B7">
        <w:rPr>
          <w:color w:val="000000"/>
          <w:shd w:val="clear" w:color="auto" w:fill="FFFFFF"/>
        </w:rPr>
        <w:t xml:space="preserve">Nároky indosantov proti iným indosantom a proti vystaviteľovi sa </w:t>
      </w:r>
      <w:proofErr w:type="spellStart"/>
      <w:r w:rsidRPr="00BE60B7">
        <w:rPr>
          <w:color w:val="000000"/>
          <w:shd w:val="clear" w:color="auto" w:fill="FFFFFF"/>
        </w:rPr>
        <w:t>premlčujú</w:t>
      </w:r>
      <w:proofErr w:type="spellEnd"/>
      <w:r w:rsidRPr="00BE60B7">
        <w:rPr>
          <w:color w:val="000000"/>
          <w:shd w:val="clear" w:color="auto" w:fill="FFFFFF"/>
        </w:rPr>
        <w:t xml:space="preserve"> v šiestich mesiacoch odo dňa, keď indosant zmenku vyplatil, alebo keď bol nárok proti nemu súdne uplatnený.</w:t>
      </w:r>
    </w:p>
    <w:p w:rsidR="00F24F30" w:rsidRDefault="00F24F30" w:rsidP="00F24F30">
      <w:pPr>
        <w:spacing w:after="120" w:line="276" w:lineRule="auto"/>
        <w:jc w:val="both"/>
        <w:rPr>
          <w:color w:val="000000"/>
          <w:shd w:val="clear" w:color="auto" w:fill="FFFFFF"/>
        </w:rPr>
      </w:pPr>
    </w:p>
    <w:p w:rsidR="00F24F30" w:rsidRPr="00F24F30" w:rsidRDefault="00F24F30" w:rsidP="00F24F30">
      <w:pPr>
        <w:spacing w:after="120" w:line="276" w:lineRule="auto"/>
        <w:jc w:val="both"/>
        <w:rPr>
          <w:b/>
          <w:bCs/>
          <w:color w:val="000000"/>
          <w:shd w:val="clear" w:color="auto" w:fill="FFFFFF"/>
        </w:rPr>
      </w:pPr>
      <w:r w:rsidRPr="00F24F30">
        <w:rPr>
          <w:b/>
          <w:bCs/>
          <w:color w:val="000000"/>
          <w:shd w:val="clear" w:color="auto" w:fill="FFFFFF"/>
        </w:rPr>
        <w:t>Lízing</w:t>
      </w:r>
      <w:r w:rsidR="00337C93">
        <w:rPr>
          <w:b/>
          <w:bCs/>
          <w:color w:val="000000"/>
          <w:shd w:val="clear" w:color="auto" w:fill="FFFFFF"/>
        </w:rPr>
        <w:t>ová zmluva</w:t>
      </w:r>
    </w:p>
    <w:p w:rsidR="00F24F30" w:rsidRDefault="00F24F30" w:rsidP="00F24F30">
      <w:pPr>
        <w:spacing w:after="120" w:line="276" w:lineRule="auto"/>
        <w:jc w:val="both"/>
        <w:rPr>
          <w:color w:val="000000"/>
          <w:shd w:val="clear" w:color="auto" w:fill="FFFFFF"/>
        </w:rPr>
      </w:pPr>
      <w:r>
        <w:rPr>
          <w:color w:val="000000"/>
          <w:shd w:val="clear" w:color="auto" w:fill="FFFFFF"/>
        </w:rPr>
        <w:t>-</w:t>
      </w:r>
      <w:r w:rsidR="00337C93">
        <w:rPr>
          <w:color w:val="000000"/>
          <w:shd w:val="clear" w:color="auto" w:fill="FFFFFF"/>
        </w:rPr>
        <w:t xml:space="preserve"> nie je zmluvný typ ani v OBZ ani OZ</w:t>
      </w:r>
    </w:p>
    <w:p w:rsidR="00337C93" w:rsidRDefault="00337C93" w:rsidP="00F24F30">
      <w:pPr>
        <w:spacing w:after="120" w:line="276" w:lineRule="auto"/>
        <w:jc w:val="both"/>
        <w:rPr>
          <w:color w:val="000000"/>
          <w:shd w:val="clear" w:color="auto" w:fill="FFFFFF"/>
        </w:rPr>
      </w:pPr>
      <w:r>
        <w:rPr>
          <w:color w:val="000000"/>
          <w:shd w:val="clear" w:color="auto" w:fill="FFFFFF"/>
        </w:rPr>
        <w:t>- v praxi sa môžeme stretnúť s lízingovou zmluvou uzatváranou v režime zmluvy o kúpe prenajatej veci (§489 OBZ) alebo inominátnej zmluvy (§ 269 ods. 2 OBZ)</w:t>
      </w:r>
    </w:p>
    <w:p w:rsidR="00337C93" w:rsidRDefault="00337C93" w:rsidP="00F24F30">
      <w:pPr>
        <w:spacing w:after="120" w:line="276" w:lineRule="auto"/>
        <w:jc w:val="both"/>
        <w:rPr>
          <w:color w:val="000000"/>
          <w:shd w:val="clear" w:color="auto" w:fill="FFFFFF"/>
        </w:rPr>
      </w:pPr>
      <w:r>
        <w:rPr>
          <w:color w:val="000000"/>
          <w:shd w:val="clear" w:color="auto" w:fill="FFFFFF"/>
        </w:rPr>
        <w:t>-</w:t>
      </w:r>
      <w:r w:rsidRPr="00337C93">
        <w:t xml:space="preserve"> </w:t>
      </w:r>
      <w:r w:rsidRPr="00337C93">
        <w:rPr>
          <w:color w:val="000000"/>
          <w:shd w:val="clear" w:color="auto" w:fill="FFFFFF"/>
        </w:rPr>
        <w:t xml:space="preserve">Lízing je spravidla dvojstranný záväzkový vzťah, pri ktorom nájomca, v prospech ktorého je prenechávané užívanie veci a poberanie úžitku, platí prenajímateľovi za používanie predmetu </w:t>
      </w:r>
      <w:r w:rsidRPr="00337C93">
        <w:rPr>
          <w:color w:val="000000"/>
          <w:shd w:val="clear" w:color="auto" w:fill="FFFFFF"/>
        </w:rPr>
        <w:lastRenderedPageBreak/>
        <w:t>lízingu stanovené nájomné formou jednotlivých splátok po dobu trvania lízingu. Prenajímateľ je tá strana nájomného vzťahu, ktorá prenecháva druhej strane určitú vec do nájmu za účelom jej užívania, pričom po celú dobu prenájmu zostáva majiteľom tejto veci.</w:t>
      </w:r>
    </w:p>
    <w:p w:rsidR="00337C93" w:rsidRDefault="00337C93" w:rsidP="00337C93">
      <w:pPr>
        <w:pStyle w:val="Odsekzoznamu"/>
        <w:numPr>
          <w:ilvl w:val="0"/>
          <w:numId w:val="2"/>
        </w:numPr>
        <w:spacing w:after="120" w:line="276" w:lineRule="auto"/>
        <w:jc w:val="both"/>
        <w:rPr>
          <w:color w:val="000000"/>
          <w:shd w:val="clear" w:color="auto" w:fill="FFFFFF"/>
        </w:rPr>
      </w:pPr>
      <w:r>
        <w:rPr>
          <w:color w:val="000000"/>
          <w:shd w:val="clear" w:color="auto" w:fill="FFFFFF"/>
        </w:rPr>
        <w:t>základné formy lízingu</w:t>
      </w:r>
    </w:p>
    <w:p w:rsidR="00337C93" w:rsidRDefault="00337C93" w:rsidP="00337C93">
      <w:pPr>
        <w:pStyle w:val="Odsekzoznamu"/>
        <w:numPr>
          <w:ilvl w:val="1"/>
          <w:numId w:val="2"/>
        </w:numPr>
        <w:spacing w:after="120" w:line="276" w:lineRule="auto"/>
        <w:jc w:val="both"/>
        <w:rPr>
          <w:color w:val="000000"/>
          <w:shd w:val="clear" w:color="auto" w:fill="FFFFFF"/>
        </w:rPr>
      </w:pPr>
      <w:r w:rsidRPr="00337C93">
        <w:rPr>
          <w:color w:val="000000"/>
          <w:shd w:val="clear" w:color="auto" w:fill="FFFFFF"/>
        </w:rPr>
        <w:t>finančný lízing, resp. finančný prenájom</w:t>
      </w:r>
      <w:r>
        <w:rPr>
          <w:color w:val="000000"/>
          <w:shd w:val="clear" w:color="auto" w:fill="FFFFFF"/>
        </w:rPr>
        <w:t xml:space="preserve"> (p</w:t>
      </w:r>
      <w:r w:rsidRPr="00337C93">
        <w:rPr>
          <w:color w:val="000000"/>
          <w:shd w:val="clear" w:color="auto" w:fill="FFFFFF"/>
        </w:rPr>
        <w:t>renajímateľ (lízingová spoločnosť) je právnym vlastníkom majetku počas celej doby trvania finančného prenájmu až do zaplatenia poslednej splátky</w:t>
      </w:r>
      <w:r>
        <w:rPr>
          <w:color w:val="000000"/>
          <w:shd w:val="clear" w:color="auto" w:fill="FFFFFF"/>
        </w:rPr>
        <w:t>, tu sa využíva zmluva o kúpe prenajatej veci podľa § 489 OBZ)</w:t>
      </w:r>
    </w:p>
    <w:p w:rsidR="00337C93" w:rsidRDefault="00337C93" w:rsidP="00337C93">
      <w:pPr>
        <w:pStyle w:val="Odsekzoznamu"/>
        <w:numPr>
          <w:ilvl w:val="1"/>
          <w:numId w:val="2"/>
        </w:numPr>
        <w:spacing w:after="120" w:line="276" w:lineRule="auto"/>
        <w:jc w:val="both"/>
        <w:rPr>
          <w:color w:val="000000"/>
          <w:shd w:val="clear" w:color="auto" w:fill="FFFFFF"/>
        </w:rPr>
      </w:pPr>
      <w:r w:rsidRPr="00337C93">
        <w:rPr>
          <w:color w:val="000000"/>
          <w:shd w:val="clear" w:color="auto" w:fill="FFFFFF"/>
        </w:rPr>
        <w:t>operatívny lízing, resp. operatívny prenájom</w:t>
      </w:r>
      <w:r>
        <w:rPr>
          <w:color w:val="000000"/>
          <w:shd w:val="clear" w:color="auto" w:fill="FFFFFF"/>
        </w:rPr>
        <w:t xml:space="preserve"> (</w:t>
      </w:r>
      <w:r w:rsidRPr="00337C93">
        <w:rPr>
          <w:color w:val="000000"/>
          <w:shd w:val="clear" w:color="auto" w:fill="FFFFFF"/>
        </w:rPr>
        <w:t>prenájom na dobu väčšinou kratšiu, ako je životnosť predmetu lízingu</w:t>
      </w:r>
      <w:r>
        <w:rPr>
          <w:color w:val="000000"/>
          <w:shd w:val="clear" w:color="auto" w:fill="FFFFFF"/>
        </w:rPr>
        <w:t>, nájomca nemá záujem o vlastníctvo predmetu lízingu, môžeme využiť nájomnú zmluvu podľa § 663 OZ)</w:t>
      </w:r>
    </w:p>
    <w:p w:rsidR="00F92B60" w:rsidRPr="00F92B60" w:rsidRDefault="00F92B60" w:rsidP="00F92B60">
      <w:pPr>
        <w:spacing w:after="120" w:line="276" w:lineRule="auto"/>
        <w:jc w:val="both"/>
        <w:rPr>
          <w:color w:val="000000"/>
          <w:shd w:val="clear" w:color="auto" w:fill="FFFFFF"/>
        </w:rPr>
      </w:pPr>
      <w:r>
        <w:rPr>
          <w:color w:val="000000"/>
          <w:shd w:val="clear" w:color="auto" w:fill="FFFFFF"/>
        </w:rPr>
        <w:t>- cena lízingu: zahŕňa postupné splátky obstarávacej ceny majetku, lízingovú maržu prenajímateľa (lízingovej spoločnosti) a ostatné náklady prenajímateľa spojené s prenajatým majetkom (ide predovšetkým o úroky z úveru, ktoré si lízingová spoločnosť berie na obstaranie majetku, prípadne poplatky banky za vedenie úverového účtu)</w:t>
      </w:r>
    </w:p>
    <w:sectPr w:rsidR="00F92B60" w:rsidRPr="00F92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373FA"/>
    <w:multiLevelType w:val="hybridMultilevel"/>
    <w:tmpl w:val="D94A702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F391EB3"/>
    <w:multiLevelType w:val="hybridMultilevel"/>
    <w:tmpl w:val="1F1E0B82"/>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02302C7"/>
    <w:multiLevelType w:val="hybridMultilevel"/>
    <w:tmpl w:val="4060EC48"/>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32"/>
    <w:rsid w:val="000C7276"/>
    <w:rsid w:val="00316F7B"/>
    <w:rsid w:val="00337C93"/>
    <w:rsid w:val="003C1432"/>
    <w:rsid w:val="00433E9E"/>
    <w:rsid w:val="005A55E3"/>
    <w:rsid w:val="005C648F"/>
    <w:rsid w:val="0062701D"/>
    <w:rsid w:val="006A2060"/>
    <w:rsid w:val="008F3870"/>
    <w:rsid w:val="00AF2F10"/>
    <w:rsid w:val="00BE60B7"/>
    <w:rsid w:val="00CD6B5B"/>
    <w:rsid w:val="00F24F30"/>
    <w:rsid w:val="00F633D7"/>
    <w:rsid w:val="00F92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73C8"/>
  <w15:chartTrackingRefBased/>
  <w15:docId w15:val="{4E1752E1-CAF0-45AE-9EFC-07FB14BB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1432"/>
    <w:pPr>
      <w:spacing w:after="0" w:line="240" w:lineRule="auto"/>
    </w:pPr>
    <w:rPr>
      <w:rFonts w:ascii="Times New Roman" w:eastAsia="Times New Roman" w:hAnsi="Times New Roman" w:cs="Times New Roman"/>
      <w:snapToGrid w:val="0"/>
      <w:sz w:val="24"/>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F2F10"/>
    <w:pPr>
      <w:ind w:left="720"/>
      <w:contextualSpacing/>
    </w:pPr>
  </w:style>
  <w:style w:type="character" w:styleId="Hypertextovprepojenie">
    <w:name w:val="Hyperlink"/>
    <w:basedOn w:val="Predvolenpsmoodseku"/>
    <w:uiPriority w:val="99"/>
    <w:semiHidden/>
    <w:unhideWhenUsed/>
    <w:rsid w:val="000C7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169">
      <w:bodyDiv w:val="1"/>
      <w:marLeft w:val="0"/>
      <w:marRight w:val="0"/>
      <w:marTop w:val="0"/>
      <w:marBottom w:val="0"/>
      <w:divBdr>
        <w:top w:val="none" w:sz="0" w:space="0" w:color="auto"/>
        <w:left w:val="none" w:sz="0" w:space="0" w:color="auto"/>
        <w:bottom w:val="none" w:sz="0" w:space="0" w:color="auto"/>
        <w:right w:val="none" w:sz="0" w:space="0" w:color="auto"/>
      </w:divBdr>
      <w:divsChild>
        <w:div w:id="147600271">
          <w:marLeft w:val="0"/>
          <w:marRight w:val="0"/>
          <w:marTop w:val="0"/>
          <w:marBottom w:val="0"/>
          <w:divBdr>
            <w:top w:val="none" w:sz="0" w:space="0" w:color="auto"/>
            <w:left w:val="none" w:sz="0" w:space="0" w:color="auto"/>
            <w:bottom w:val="none" w:sz="0" w:space="0" w:color="auto"/>
            <w:right w:val="none" w:sz="0" w:space="0" w:color="auto"/>
          </w:divBdr>
        </w:div>
        <w:div w:id="2142263432">
          <w:marLeft w:val="0"/>
          <w:marRight w:val="0"/>
          <w:marTop w:val="0"/>
          <w:marBottom w:val="0"/>
          <w:divBdr>
            <w:top w:val="none" w:sz="0" w:space="0" w:color="auto"/>
            <w:left w:val="none" w:sz="0" w:space="0" w:color="auto"/>
            <w:bottom w:val="none" w:sz="0" w:space="0" w:color="auto"/>
            <w:right w:val="none" w:sz="0" w:space="0" w:color="auto"/>
          </w:divBdr>
        </w:div>
        <w:div w:id="1783528331">
          <w:marLeft w:val="0"/>
          <w:marRight w:val="0"/>
          <w:marTop w:val="0"/>
          <w:marBottom w:val="0"/>
          <w:divBdr>
            <w:top w:val="none" w:sz="0" w:space="0" w:color="auto"/>
            <w:left w:val="none" w:sz="0" w:space="0" w:color="auto"/>
            <w:bottom w:val="none" w:sz="0" w:space="0" w:color="auto"/>
            <w:right w:val="none" w:sz="0" w:space="0" w:color="auto"/>
          </w:divBdr>
        </w:div>
        <w:div w:id="1090390801">
          <w:marLeft w:val="0"/>
          <w:marRight w:val="0"/>
          <w:marTop w:val="0"/>
          <w:marBottom w:val="0"/>
          <w:divBdr>
            <w:top w:val="none" w:sz="0" w:space="0" w:color="auto"/>
            <w:left w:val="none" w:sz="0" w:space="0" w:color="auto"/>
            <w:bottom w:val="none" w:sz="0" w:space="0" w:color="auto"/>
            <w:right w:val="none" w:sz="0" w:space="0" w:color="auto"/>
          </w:divBdr>
        </w:div>
        <w:div w:id="389306365">
          <w:marLeft w:val="0"/>
          <w:marRight w:val="0"/>
          <w:marTop w:val="0"/>
          <w:marBottom w:val="0"/>
          <w:divBdr>
            <w:top w:val="none" w:sz="0" w:space="0" w:color="auto"/>
            <w:left w:val="none" w:sz="0" w:space="0" w:color="auto"/>
            <w:bottom w:val="none" w:sz="0" w:space="0" w:color="auto"/>
            <w:right w:val="none" w:sz="0" w:space="0" w:color="auto"/>
          </w:divBdr>
        </w:div>
        <w:div w:id="619185972">
          <w:marLeft w:val="0"/>
          <w:marRight w:val="0"/>
          <w:marTop w:val="0"/>
          <w:marBottom w:val="0"/>
          <w:divBdr>
            <w:top w:val="none" w:sz="0" w:space="0" w:color="auto"/>
            <w:left w:val="none" w:sz="0" w:space="0" w:color="auto"/>
            <w:bottom w:val="none" w:sz="0" w:space="0" w:color="auto"/>
            <w:right w:val="none" w:sz="0" w:space="0" w:color="auto"/>
          </w:divBdr>
        </w:div>
        <w:div w:id="1723479564">
          <w:marLeft w:val="0"/>
          <w:marRight w:val="0"/>
          <w:marTop w:val="0"/>
          <w:marBottom w:val="0"/>
          <w:divBdr>
            <w:top w:val="none" w:sz="0" w:space="0" w:color="auto"/>
            <w:left w:val="none" w:sz="0" w:space="0" w:color="auto"/>
            <w:bottom w:val="none" w:sz="0" w:space="0" w:color="auto"/>
            <w:right w:val="none" w:sz="0" w:space="0" w:color="auto"/>
          </w:divBdr>
        </w:div>
        <w:div w:id="40516926">
          <w:marLeft w:val="0"/>
          <w:marRight w:val="0"/>
          <w:marTop w:val="0"/>
          <w:marBottom w:val="0"/>
          <w:divBdr>
            <w:top w:val="none" w:sz="0" w:space="0" w:color="auto"/>
            <w:left w:val="none" w:sz="0" w:space="0" w:color="auto"/>
            <w:bottom w:val="none" w:sz="0" w:space="0" w:color="auto"/>
            <w:right w:val="none" w:sz="0" w:space="0" w:color="auto"/>
          </w:divBdr>
        </w:div>
      </w:divsChild>
    </w:div>
    <w:div w:id="1598756102">
      <w:bodyDiv w:val="1"/>
      <w:marLeft w:val="0"/>
      <w:marRight w:val="0"/>
      <w:marTop w:val="0"/>
      <w:marBottom w:val="0"/>
      <w:divBdr>
        <w:top w:val="none" w:sz="0" w:space="0" w:color="auto"/>
        <w:left w:val="none" w:sz="0" w:space="0" w:color="auto"/>
        <w:bottom w:val="none" w:sz="0" w:space="0" w:color="auto"/>
        <w:right w:val="none" w:sz="0" w:space="0" w:color="auto"/>
      </w:divBdr>
      <w:divsChild>
        <w:div w:id="1332217230">
          <w:marLeft w:val="0"/>
          <w:marRight w:val="0"/>
          <w:marTop w:val="0"/>
          <w:marBottom w:val="0"/>
          <w:divBdr>
            <w:top w:val="none" w:sz="0" w:space="0" w:color="auto"/>
            <w:left w:val="none" w:sz="0" w:space="0" w:color="auto"/>
            <w:bottom w:val="none" w:sz="0" w:space="0" w:color="auto"/>
            <w:right w:val="none" w:sz="0" w:space="0" w:color="auto"/>
          </w:divBdr>
        </w:div>
        <w:div w:id="548298612">
          <w:marLeft w:val="0"/>
          <w:marRight w:val="0"/>
          <w:marTop w:val="0"/>
          <w:marBottom w:val="0"/>
          <w:divBdr>
            <w:top w:val="none" w:sz="0" w:space="0" w:color="auto"/>
            <w:left w:val="none" w:sz="0" w:space="0" w:color="auto"/>
            <w:bottom w:val="none" w:sz="0" w:space="0" w:color="auto"/>
            <w:right w:val="none" w:sz="0" w:space="0" w:color="auto"/>
          </w:divBdr>
        </w:div>
        <w:div w:id="144588535">
          <w:marLeft w:val="0"/>
          <w:marRight w:val="0"/>
          <w:marTop w:val="0"/>
          <w:marBottom w:val="0"/>
          <w:divBdr>
            <w:top w:val="none" w:sz="0" w:space="0" w:color="auto"/>
            <w:left w:val="none" w:sz="0" w:space="0" w:color="auto"/>
            <w:bottom w:val="none" w:sz="0" w:space="0" w:color="auto"/>
            <w:right w:val="none" w:sz="0" w:space="0" w:color="auto"/>
          </w:divBdr>
        </w:div>
        <w:div w:id="528839854">
          <w:marLeft w:val="0"/>
          <w:marRight w:val="0"/>
          <w:marTop w:val="0"/>
          <w:marBottom w:val="0"/>
          <w:divBdr>
            <w:top w:val="none" w:sz="0" w:space="0" w:color="auto"/>
            <w:left w:val="none" w:sz="0" w:space="0" w:color="auto"/>
            <w:bottom w:val="none" w:sz="0" w:space="0" w:color="auto"/>
            <w:right w:val="none" w:sz="0" w:space="0" w:color="auto"/>
          </w:divBdr>
        </w:div>
      </w:divsChild>
    </w:div>
    <w:div w:id="2026785350">
      <w:bodyDiv w:val="1"/>
      <w:marLeft w:val="0"/>
      <w:marRight w:val="0"/>
      <w:marTop w:val="0"/>
      <w:marBottom w:val="0"/>
      <w:divBdr>
        <w:top w:val="none" w:sz="0" w:space="0" w:color="auto"/>
        <w:left w:val="none" w:sz="0" w:space="0" w:color="auto"/>
        <w:bottom w:val="none" w:sz="0" w:space="0" w:color="auto"/>
        <w:right w:val="none" w:sz="0" w:space="0" w:color="auto"/>
      </w:divBdr>
      <w:divsChild>
        <w:div w:id="94057333">
          <w:marLeft w:val="0"/>
          <w:marRight w:val="0"/>
          <w:marTop w:val="0"/>
          <w:marBottom w:val="0"/>
          <w:divBdr>
            <w:top w:val="none" w:sz="0" w:space="0" w:color="auto"/>
            <w:left w:val="none" w:sz="0" w:space="0" w:color="auto"/>
            <w:bottom w:val="none" w:sz="0" w:space="0" w:color="auto"/>
            <w:right w:val="none" w:sz="0" w:space="0" w:color="auto"/>
          </w:divBdr>
        </w:div>
        <w:div w:id="782070197">
          <w:marLeft w:val="0"/>
          <w:marRight w:val="0"/>
          <w:marTop w:val="0"/>
          <w:marBottom w:val="0"/>
          <w:divBdr>
            <w:top w:val="none" w:sz="0" w:space="0" w:color="auto"/>
            <w:left w:val="none" w:sz="0" w:space="0" w:color="auto"/>
            <w:bottom w:val="none" w:sz="0" w:space="0" w:color="auto"/>
            <w:right w:val="none" w:sz="0" w:space="0" w:color="auto"/>
          </w:divBdr>
        </w:div>
        <w:div w:id="1382250433">
          <w:marLeft w:val="0"/>
          <w:marRight w:val="0"/>
          <w:marTop w:val="0"/>
          <w:marBottom w:val="0"/>
          <w:divBdr>
            <w:top w:val="none" w:sz="0" w:space="0" w:color="auto"/>
            <w:left w:val="none" w:sz="0" w:space="0" w:color="auto"/>
            <w:bottom w:val="none" w:sz="0" w:space="0" w:color="auto"/>
            <w:right w:val="none" w:sz="0" w:space="0" w:color="auto"/>
          </w:divBdr>
        </w:div>
        <w:div w:id="113182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8531</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Ing. Jaroslav Dolný PhD.</dc:creator>
  <cp:keywords/>
  <dc:description/>
  <cp:lastModifiedBy>JUDr. Ing. Jaroslav Dolný PhD.</cp:lastModifiedBy>
  <cp:revision>2</cp:revision>
  <dcterms:created xsi:type="dcterms:W3CDTF">2020-04-29T18:27:00Z</dcterms:created>
  <dcterms:modified xsi:type="dcterms:W3CDTF">2020-04-29T18:27:00Z</dcterms:modified>
</cp:coreProperties>
</file>