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116" w:rsidRDefault="00735116" w:rsidP="00735116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H</w:t>
      </w:r>
      <w:r>
        <w:rPr>
          <w:b/>
          <w:bCs/>
          <w:sz w:val="26"/>
          <w:szCs w:val="26"/>
        </w:rPr>
        <w:t xml:space="preserve">ORIZON </w:t>
      </w:r>
      <w:r>
        <w:rPr>
          <w:b/>
          <w:bCs/>
          <w:sz w:val="32"/>
          <w:szCs w:val="32"/>
        </w:rPr>
        <w:t xml:space="preserve">2020 </w:t>
      </w:r>
    </w:p>
    <w:p w:rsidR="00D9068F" w:rsidRDefault="00083364" w:rsidP="00735116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W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ORK PROGRAMME 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2014 </w:t>
      </w:r>
      <w:r>
        <w:rPr>
          <w:rFonts w:ascii="Times New Roman,Bold" w:hAnsi="Times New Roman,Bold" w:cs="Times New Roman,Bold"/>
          <w:b/>
          <w:bCs/>
          <w:sz w:val="32"/>
          <w:szCs w:val="32"/>
        </w:rPr>
        <w:t xml:space="preserve">– </w:t>
      </w:r>
      <w:r>
        <w:rPr>
          <w:rFonts w:ascii="Times New Roman" w:hAnsi="Times New Roman" w:cs="Times New Roman"/>
          <w:b/>
          <w:bCs/>
          <w:sz w:val="32"/>
          <w:szCs w:val="32"/>
        </w:rPr>
        <w:t>2015</w:t>
      </w:r>
    </w:p>
    <w:p w:rsidR="00083364" w:rsidRDefault="00083364" w:rsidP="000833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>
        <w:rPr>
          <w:rFonts w:ascii="Times New Roman" w:hAnsi="Times New Roman" w:cs="Times New Roman"/>
          <w:i/>
          <w:iCs/>
          <w:sz w:val="32"/>
          <w:szCs w:val="32"/>
        </w:rPr>
        <w:t>5. Leadership in enabling and industrial technologies</w:t>
      </w:r>
    </w:p>
    <w:p w:rsidR="00640B93" w:rsidRPr="00640B93" w:rsidRDefault="00640B93" w:rsidP="00640B93">
      <w:pPr>
        <w:pStyle w:val="Default"/>
        <w:rPr>
          <w:i/>
          <w:iCs/>
          <w:sz w:val="32"/>
          <w:szCs w:val="32"/>
        </w:rPr>
      </w:pPr>
      <w:r>
        <w:rPr>
          <w:i/>
          <w:iCs/>
          <w:sz w:val="32"/>
          <w:szCs w:val="32"/>
        </w:rPr>
        <w:t xml:space="preserve">ii. Nanotechnologies, Advanced Materials, Biotechnology </w:t>
      </w:r>
    </w:p>
    <w:p w:rsidR="00083364" w:rsidRDefault="00640B93" w:rsidP="00640B93">
      <w:pPr>
        <w:pStyle w:val="Default"/>
        <w:rPr>
          <w:i/>
          <w:iCs/>
          <w:sz w:val="32"/>
          <w:szCs w:val="32"/>
        </w:rPr>
      </w:pPr>
      <w:r>
        <w:rPr>
          <w:i/>
          <w:iCs/>
          <w:sz w:val="32"/>
          <w:szCs w:val="32"/>
        </w:rPr>
        <w:t>and Advanced Manufacturing and Processing</w:t>
      </w:r>
      <w:r>
        <w:rPr>
          <w:i/>
          <w:iCs/>
          <w:sz w:val="32"/>
          <w:szCs w:val="32"/>
        </w:rPr>
        <w:t xml:space="preserve"> - </w:t>
      </w:r>
      <w:r>
        <w:rPr>
          <w:b/>
          <w:bCs/>
          <w:sz w:val="28"/>
          <w:szCs w:val="28"/>
        </w:rPr>
        <w:t>Factories of the Future</w:t>
      </w:r>
    </w:p>
    <w:p w:rsidR="00640B93" w:rsidRPr="00640B93" w:rsidRDefault="00640B93" w:rsidP="005721E6">
      <w:pPr>
        <w:pStyle w:val="Default"/>
        <w:rPr>
          <w:bCs/>
          <w:iCs/>
          <w:sz w:val="20"/>
          <w:szCs w:val="20"/>
        </w:rPr>
      </w:pPr>
      <w:r w:rsidRPr="00640B93">
        <w:rPr>
          <w:bCs/>
          <w:iCs/>
          <w:sz w:val="20"/>
          <w:szCs w:val="20"/>
        </w:rPr>
        <w:t>(http://ec.europa.eu/research/participants/data/ref/h2020/wp/2014_2015/main/h2020-wp1415-leit-nmp_en.pdf)</w:t>
      </w:r>
    </w:p>
    <w:p w:rsidR="00640B93" w:rsidRDefault="00640B93" w:rsidP="005721E6">
      <w:pPr>
        <w:pStyle w:val="Default"/>
        <w:rPr>
          <w:b/>
          <w:bCs/>
          <w:i/>
          <w:iCs/>
          <w:sz w:val="23"/>
          <w:szCs w:val="23"/>
          <w:u w:val="single"/>
        </w:rPr>
      </w:pPr>
    </w:p>
    <w:p w:rsidR="00083364" w:rsidRPr="005721E6" w:rsidRDefault="005721E6" w:rsidP="005721E6">
      <w:pPr>
        <w:pStyle w:val="Default"/>
        <w:rPr>
          <w:b/>
          <w:bCs/>
          <w:i/>
          <w:iCs/>
          <w:sz w:val="23"/>
          <w:szCs w:val="23"/>
          <w:u w:val="single"/>
        </w:rPr>
      </w:pPr>
      <w:r w:rsidRPr="005721E6">
        <w:rPr>
          <w:b/>
          <w:bCs/>
          <w:i/>
          <w:iCs/>
          <w:sz w:val="23"/>
          <w:szCs w:val="23"/>
          <w:u w:val="single"/>
        </w:rPr>
        <w:t>Témy:</w:t>
      </w:r>
    </w:p>
    <w:p w:rsidR="005721E6" w:rsidRPr="005721E6" w:rsidRDefault="005721E6" w:rsidP="005721E6">
      <w:pPr>
        <w:pStyle w:val="Default"/>
        <w:rPr>
          <w:b/>
          <w:bCs/>
          <w:i/>
          <w:iCs/>
          <w:sz w:val="23"/>
          <w:szCs w:val="23"/>
        </w:rPr>
      </w:pPr>
    </w:p>
    <w:p w:rsidR="00640B93" w:rsidRPr="00A94623" w:rsidRDefault="00640B93" w:rsidP="00735116">
      <w:pPr>
        <w:pStyle w:val="Default"/>
        <w:rPr>
          <w:b/>
          <w:sz w:val="22"/>
          <w:szCs w:val="22"/>
        </w:rPr>
      </w:pPr>
      <w:r w:rsidRPr="00A94623">
        <w:rPr>
          <w:b/>
          <w:sz w:val="22"/>
          <w:szCs w:val="22"/>
        </w:rPr>
        <w:t xml:space="preserve">FoF 1 – 2014: Process optimisation of manufacturing assets </w:t>
      </w:r>
    </w:p>
    <w:p w:rsidR="00640B93" w:rsidRPr="00A94623" w:rsidRDefault="00640B93" w:rsidP="00735116">
      <w:pPr>
        <w:pStyle w:val="Default"/>
        <w:rPr>
          <w:b/>
          <w:sz w:val="22"/>
          <w:szCs w:val="22"/>
        </w:rPr>
      </w:pPr>
      <w:r w:rsidRPr="00A94623">
        <w:rPr>
          <w:b/>
          <w:sz w:val="22"/>
          <w:szCs w:val="22"/>
        </w:rPr>
        <w:t>FoF 2 – 2014: Manufacturing processes for complex structures and geometries with efficient use of material</w:t>
      </w:r>
    </w:p>
    <w:p w:rsidR="00640B93" w:rsidRPr="00A94623" w:rsidRDefault="00640B93" w:rsidP="00735116">
      <w:pPr>
        <w:pStyle w:val="Default"/>
        <w:rPr>
          <w:b/>
          <w:sz w:val="22"/>
          <w:szCs w:val="22"/>
        </w:rPr>
      </w:pPr>
      <w:r w:rsidRPr="00A94623">
        <w:rPr>
          <w:b/>
          <w:sz w:val="22"/>
          <w:szCs w:val="22"/>
        </w:rPr>
        <w:t>FoF 3 – 2014: Global energy and other resources efficiency in manufacturing enterprises</w:t>
      </w:r>
    </w:p>
    <w:p w:rsidR="00640B93" w:rsidRPr="00A94623" w:rsidRDefault="00640B93" w:rsidP="00735116">
      <w:pPr>
        <w:pStyle w:val="Default"/>
        <w:rPr>
          <w:b/>
          <w:sz w:val="22"/>
          <w:szCs w:val="22"/>
        </w:rPr>
      </w:pPr>
      <w:r w:rsidRPr="00A94623">
        <w:rPr>
          <w:b/>
          <w:sz w:val="22"/>
          <w:szCs w:val="22"/>
        </w:rPr>
        <w:t>FoF 4 – 2014: Developing smart factories that are attractive to workers</w:t>
      </w:r>
    </w:p>
    <w:p w:rsidR="00640B93" w:rsidRPr="00A94623" w:rsidRDefault="00640B93" w:rsidP="00735116">
      <w:pPr>
        <w:pStyle w:val="Default"/>
        <w:rPr>
          <w:b/>
          <w:sz w:val="22"/>
          <w:szCs w:val="22"/>
        </w:rPr>
      </w:pPr>
      <w:r w:rsidRPr="00A94623">
        <w:rPr>
          <w:b/>
          <w:sz w:val="22"/>
          <w:szCs w:val="22"/>
        </w:rPr>
        <w:t>FoF 5 – 2014: Innovative product-service design using manufacturing intelligence</w:t>
      </w:r>
    </w:p>
    <w:p w:rsidR="00640B93" w:rsidRPr="00A94623" w:rsidRDefault="00640B93" w:rsidP="00735116">
      <w:pPr>
        <w:pStyle w:val="Default"/>
        <w:rPr>
          <w:b/>
          <w:sz w:val="22"/>
          <w:szCs w:val="22"/>
        </w:rPr>
      </w:pPr>
      <w:r w:rsidRPr="00A94623">
        <w:rPr>
          <w:b/>
          <w:sz w:val="22"/>
          <w:szCs w:val="22"/>
        </w:rPr>
        <w:t>FoF 6 – 2014: Symbiotic human-robot collaborations for safe and dynamic multimodal manufacturing systems</w:t>
      </w:r>
    </w:p>
    <w:p w:rsidR="00640B93" w:rsidRPr="00A94623" w:rsidRDefault="00640B93" w:rsidP="00735116">
      <w:pPr>
        <w:pStyle w:val="Default"/>
        <w:rPr>
          <w:b/>
          <w:sz w:val="22"/>
          <w:szCs w:val="22"/>
        </w:rPr>
      </w:pPr>
      <w:r w:rsidRPr="00A94623">
        <w:rPr>
          <w:b/>
          <w:sz w:val="22"/>
          <w:szCs w:val="22"/>
        </w:rPr>
        <w:t>FoF 7 – 2014: Support for the enhancement of the impact of FoF PPP projects</w:t>
      </w:r>
    </w:p>
    <w:p w:rsidR="00640B93" w:rsidRPr="00A94623" w:rsidRDefault="00640B93" w:rsidP="00735116">
      <w:pPr>
        <w:pStyle w:val="Default"/>
        <w:rPr>
          <w:b/>
          <w:sz w:val="22"/>
          <w:szCs w:val="22"/>
        </w:rPr>
      </w:pPr>
      <w:r w:rsidRPr="00A94623">
        <w:rPr>
          <w:b/>
          <w:sz w:val="22"/>
          <w:szCs w:val="22"/>
        </w:rPr>
        <w:t xml:space="preserve">FoF 8 – 2015: ICT-enabled modelling, simulation, analytics and forecasting </w:t>
      </w:r>
      <w:r w:rsidRPr="00A94623">
        <w:rPr>
          <w:b/>
          <w:sz w:val="22"/>
          <w:szCs w:val="22"/>
        </w:rPr>
        <w:t>technologies</w:t>
      </w:r>
    </w:p>
    <w:p w:rsidR="00640B93" w:rsidRPr="00A94623" w:rsidRDefault="00640B93" w:rsidP="00735116">
      <w:pPr>
        <w:pStyle w:val="Default"/>
        <w:rPr>
          <w:b/>
          <w:sz w:val="22"/>
          <w:szCs w:val="22"/>
        </w:rPr>
      </w:pPr>
      <w:r w:rsidRPr="00A94623">
        <w:rPr>
          <w:b/>
          <w:sz w:val="22"/>
          <w:szCs w:val="22"/>
        </w:rPr>
        <w:t>FoF 9 – 2015: ICT Innovation for Manufacturing SMEs (I4MS)</w:t>
      </w:r>
    </w:p>
    <w:p w:rsidR="00640B93" w:rsidRPr="00A94623" w:rsidRDefault="00640B93" w:rsidP="00735116">
      <w:pPr>
        <w:pStyle w:val="Default"/>
        <w:rPr>
          <w:b/>
          <w:sz w:val="22"/>
          <w:szCs w:val="22"/>
        </w:rPr>
      </w:pPr>
      <w:r w:rsidRPr="00A94623">
        <w:rPr>
          <w:b/>
          <w:sz w:val="22"/>
          <w:szCs w:val="22"/>
        </w:rPr>
        <w:t>FoF 10 – 2015: Manufacturing of custom made parts for personalised products</w:t>
      </w:r>
    </w:p>
    <w:p w:rsidR="00640B93" w:rsidRPr="00A94623" w:rsidRDefault="00640B93" w:rsidP="00735116">
      <w:pPr>
        <w:pStyle w:val="Default"/>
        <w:rPr>
          <w:b/>
          <w:sz w:val="22"/>
          <w:szCs w:val="22"/>
        </w:rPr>
      </w:pPr>
      <w:r w:rsidRPr="00A94623">
        <w:rPr>
          <w:b/>
          <w:sz w:val="22"/>
          <w:szCs w:val="22"/>
        </w:rPr>
        <w:t>FoF 11 – 2015: Flexible production systems based on integrated tools for rapid reconfiguration of machinery and robots</w:t>
      </w:r>
    </w:p>
    <w:p w:rsidR="00640B93" w:rsidRPr="00A94623" w:rsidRDefault="00640B93" w:rsidP="00735116">
      <w:pPr>
        <w:pStyle w:val="Default"/>
        <w:rPr>
          <w:b/>
          <w:sz w:val="22"/>
          <w:szCs w:val="22"/>
        </w:rPr>
      </w:pPr>
      <w:r w:rsidRPr="00A94623">
        <w:rPr>
          <w:b/>
          <w:sz w:val="22"/>
          <w:szCs w:val="22"/>
        </w:rPr>
        <w:t>FoF 12 – 2015: Industrial technologies for advanced joining and assembly processes of multi-materials</w:t>
      </w:r>
    </w:p>
    <w:p w:rsidR="0001480B" w:rsidRPr="00A94623" w:rsidRDefault="0001480B" w:rsidP="00735116">
      <w:pPr>
        <w:pStyle w:val="Default"/>
        <w:rPr>
          <w:b/>
          <w:sz w:val="22"/>
          <w:szCs w:val="22"/>
        </w:rPr>
      </w:pPr>
      <w:r w:rsidRPr="00A94623">
        <w:rPr>
          <w:b/>
          <w:sz w:val="22"/>
          <w:szCs w:val="22"/>
        </w:rPr>
        <w:t>FoF 13 – 2015: Re-use and re-manufacturing technologies and equipment for sustainable product lifecycle management</w:t>
      </w:r>
    </w:p>
    <w:p w:rsidR="0001480B" w:rsidRPr="00A94623" w:rsidRDefault="0001480B" w:rsidP="00735116">
      <w:pPr>
        <w:pStyle w:val="Default"/>
        <w:rPr>
          <w:b/>
          <w:sz w:val="22"/>
          <w:szCs w:val="22"/>
        </w:rPr>
      </w:pPr>
      <w:r w:rsidRPr="00A94623">
        <w:rPr>
          <w:b/>
          <w:sz w:val="22"/>
          <w:szCs w:val="22"/>
        </w:rPr>
        <w:t>FoF 14 – 2015: Integrated design and management of production machinery and processes</w:t>
      </w:r>
    </w:p>
    <w:p w:rsidR="00640B93" w:rsidRPr="00A94623" w:rsidRDefault="00640B93" w:rsidP="00735116">
      <w:pPr>
        <w:pStyle w:val="Default"/>
        <w:rPr>
          <w:b/>
          <w:bCs/>
          <w:sz w:val="23"/>
          <w:szCs w:val="23"/>
        </w:rPr>
      </w:pPr>
    </w:p>
    <w:p w:rsidR="00640B93" w:rsidRPr="00A94623" w:rsidRDefault="0001480B" w:rsidP="000148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  <w:highlight w:val="green"/>
          <w:lang w:val="sk-SK"/>
        </w:rPr>
      </w:pPr>
      <w:r w:rsidRPr="00A94623">
        <w:rPr>
          <w:rFonts w:ascii="Times New Roman" w:hAnsi="Times New Roman" w:cs="Times New Roman"/>
          <w:b/>
          <w:bCs/>
          <w:color w:val="000000"/>
          <w:sz w:val="23"/>
          <w:szCs w:val="23"/>
          <w:highlight w:val="green"/>
          <w:lang w:val="sk-SK"/>
        </w:rPr>
        <w:t>H2020-FoF-2014/2015</w:t>
      </w:r>
    </w:p>
    <w:p w:rsidR="0001480B" w:rsidRDefault="0001480B" w:rsidP="00735116">
      <w:pPr>
        <w:pStyle w:val="Default"/>
        <w:rPr>
          <w:sz w:val="22"/>
          <w:szCs w:val="22"/>
        </w:rPr>
      </w:pPr>
    </w:p>
    <w:p w:rsidR="00BA6D6A" w:rsidRDefault="00BA6D6A" w:rsidP="00735116">
      <w:pPr>
        <w:pStyle w:val="Default"/>
        <w:rPr>
          <w:sz w:val="16"/>
          <w:szCs w:val="16"/>
        </w:rPr>
      </w:pPr>
      <w:r>
        <w:rPr>
          <w:sz w:val="23"/>
          <w:szCs w:val="23"/>
        </w:rPr>
        <w:t>Publication date: 11 December 2013</w:t>
      </w:r>
    </w:p>
    <w:p w:rsidR="00BA6D6A" w:rsidRDefault="00BA6D6A" w:rsidP="00735116">
      <w:pPr>
        <w:pStyle w:val="Default"/>
        <w:rPr>
          <w:sz w:val="22"/>
          <w:szCs w:val="22"/>
        </w:rPr>
      </w:pPr>
      <w:r>
        <w:rPr>
          <w:sz w:val="23"/>
          <w:szCs w:val="23"/>
        </w:rPr>
        <w:t>Deadline(s): at 17.00.00 Brussels time on the following dates</w:t>
      </w:r>
    </w:p>
    <w:p w:rsidR="00BA6D6A" w:rsidRPr="00BA6D6A" w:rsidRDefault="00BA6D6A" w:rsidP="00BA6D6A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 w:rsidRPr="00BA6D6A">
        <w:rPr>
          <w:rFonts w:ascii="Times New Roman" w:hAnsi="Times New Roman" w:cs="Times New Roman"/>
          <w:b/>
          <w:color w:val="000000"/>
          <w:sz w:val="23"/>
          <w:szCs w:val="23"/>
          <w:lang w:val="sk-SK"/>
        </w:rPr>
        <w:t>20/03/2014</w:t>
      </w:r>
      <w:r w:rsidRPr="00BA6D6A">
        <w:rPr>
          <w:rFonts w:ascii="Times New Roman" w:hAnsi="Times New Roman" w:cs="Times New Roman"/>
          <w:color w:val="000000"/>
          <w:sz w:val="23"/>
          <w:szCs w:val="23"/>
          <w:lang w:val="sk-SK"/>
        </w:rPr>
        <w:t xml:space="preserve"> pre FoF 1-2014, FoF 2-2014, FoF 3-2014, FoF 4-2014, FoF 5-2014, FoF 6-2014, FoF 7-2014 </w:t>
      </w:r>
    </w:p>
    <w:p w:rsidR="00BA6D6A" w:rsidRPr="00BA6D6A" w:rsidRDefault="00BA6D6A" w:rsidP="00BA6D6A">
      <w:pPr>
        <w:pStyle w:val="Default"/>
        <w:numPr>
          <w:ilvl w:val="0"/>
          <w:numId w:val="1"/>
        </w:numPr>
        <w:rPr>
          <w:sz w:val="23"/>
          <w:szCs w:val="23"/>
        </w:rPr>
      </w:pPr>
      <w:r w:rsidRPr="00BA6D6A">
        <w:rPr>
          <w:b/>
          <w:sz w:val="23"/>
          <w:szCs w:val="23"/>
        </w:rPr>
        <w:t>09/12/2014</w:t>
      </w:r>
      <w:r w:rsidRPr="00BA6D6A">
        <w:rPr>
          <w:sz w:val="23"/>
          <w:szCs w:val="23"/>
        </w:rPr>
        <w:t xml:space="preserve"> pre </w:t>
      </w:r>
      <w:r>
        <w:rPr>
          <w:sz w:val="23"/>
          <w:szCs w:val="23"/>
        </w:rPr>
        <w:t xml:space="preserve">FoF 8-2015, FoF 9-2015, FoF 10-2015, FoF 11-2015, FoF 12-2015, FoF 13-2015, </w:t>
      </w:r>
      <w:r w:rsidRPr="00BA6D6A">
        <w:rPr>
          <w:sz w:val="23"/>
          <w:szCs w:val="23"/>
        </w:rPr>
        <w:t xml:space="preserve">FoF 14-2015 </w:t>
      </w:r>
    </w:p>
    <w:p w:rsidR="00BA6D6A" w:rsidRDefault="00A94623" w:rsidP="00A946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  <w:lang w:val="sk-SK"/>
        </w:rPr>
      </w:pPr>
      <w:r w:rsidRPr="00C91B26">
        <w:rPr>
          <w:rFonts w:ascii="Times New Roman" w:hAnsi="Times New Roman" w:cs="Times New Roman"/>
          <w:color w:val="000000"/>
          <w:sz w:val="23"/>
          <w:szCs w:val="23"/>
          <w:lang w:val="sk-SK"/>
        </w:rPr>
        <w:t>All</w:t>
      </w:r>
      <w:r w:rsidRPr="00C91B26"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  <w:lang w:val="sk-SK"/>
        </w:rPr>
        <w:t xml:space="preserve"> </w:t>
      </w:r>
      <w:r w:rsidRPr="00C91B26">
        <w:rPr>
          <w:rFonts w:ascii="Times New Roman" w:hAnsi="Times New Roman" w:cs="Times New Roman"/>
          <w:color w:val="000000"/>
          <w:sz w:val="23"/>
          <w:szCs w:val="23"/>
          <w:lang w:val="sk-SK"/>
        </w:rPr>
        <w:t>single stage</w:t>
      </w:r>
    </w:p>
    <w:p w:rsidR="00A94623" w:rsidRDefault="00A94623" w:rsidP="00A94623">
      <w:pPr>
        <w:autoSpaceDE w:val="0"/>
        <w:autoSpaceDN w:val="0"/>
        <w:adjustRightInd w:val="0"/>
        <w:spacing w:after="0" w:line="240" w:lineRule="auto"/>
      </w:pPr>
    </w:p>
    <w:p w:rsidR="00BA6D6A" w:rsidRDefault="00BA6D6A" w:rsidP="00735116">
      <w:pPr>
        <w:pStyle w:val="Default"/>
        <w:rPr>
          <w:sz w:val="22"/>
          <w:szCs w:val="22"/>
        </w:rPr>
      </w:pPr>
      <w:r>
        <w:rPr>
          <w:sz w:val="23"/>
          <w:szCs w:val="23"/>
        </w:rPr>
        <w:t>Overall indicative budget: EUR 116.00 million from the 2014 budget,</w:t>
      </w:r>
      <w:r>
        <w:rPr>
          <w:sz w:val="16"/>
          <w:szCs w:val="16"/>
        </w:rPr>
        <w:t xml:space="preserve"> </w:t>
      </w:r>
      <w:r>
        <w:rPr>
          <w:sz w:val="23"/>
          <w:szCs w:val="23"/>
        </w:rPr>
        <w:t>of which EUR 34.00 million from the LEIT-ICT part and 82.00 EUR million from the LEIT-NMP+B part; and EUR 145.00 million from the 2015 budget,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</w:t>
      </w:r>
      <w:r>
        <w:rPr>
          <w:sz w:val="23"/>
          <w:szCs w:val="23"/>
        </w:rPr>
        <w:t>of which EUR 68.00 million from the LEIT-ICT part and 77.00 EUR million from the LEIT-NMP+B part.</w:t>
      </w:r>
    </w:p>
    <w:p w:rsidR="00BA6D6A" w:rsidRDefault="00BA6D6A" w:rsidP="00735116">
      <w:pPr>
        <w:pStyle w:val="Default"/>
        <w:rPr>
          <w:sz w:val="22"/>
          <w:szCs w:val="22"/>
        </w:rPr>
      </w:pPr>
    </w:p>
    <w:p w:rsidR="00A94623" w:rsidRDefault="00A94623" w:rsidP="00A94623">
      <w:pPr>
        <w:pStyle w:val="Default"/>
        <w:rPr>
          <w:sz w:val="23"/>
          <w:szCs w:val="23"/>
        </w:rPr>
      </w:pPr>
      <w:r w:rsidRPr="00A94623">
        <w:rPr>
          <w:sz w:val="23"/>
          <w:szCs w:val="23"/>
          <w:u w:val="single"/>
        </w:rPr>
        <w:t>Eligibility and admissibility conditions</w:t>
      </w:r>
      <w:r>
        <w:rPr>
          <w:sz w:val="23"/>
          <w:szCs w:val="23"/>
        </w:rPr>
        <w:t xml:space="preserve">: </w:t>
      </w:r>
    </w:p>
    <w:p w:rsidR="00A94623" w:rsidRDefault="00A94623" w:rsidP="00A9462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The standard eligibility conditions apply, described in parts B and C of the General Annexes to the Work Programme, with the following exceptions. </w:t>
      </w:r>
    </w:p>
    <w:p w:rsidR="00A94623" w:rsidRDefault="00A94623" w:rsidP="00A9462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Proposals for Research &amp; Innovation and for Innovation Actions should include an outline of the initial exploitation and business plans, which will be developed further in the proposed project. </w:t>
      </w:r>
    </w:p>
    <w:p w:rsidR="00BA6D6A" w:rsidRDefault="00A94623" w:rsidP="00A94623">
      <w:pPr>
        <w:pStyle w:val="Default"/>
        <w:rPr>
          <w:sz w:val="22"/>
          <w:szCs w:val="22"/>
        </w:rPr>
      </w:pPr>
      <w:r>
        <w:rPr>
          <w:sz w:val="23"/>
          <w:szCs w:val="23"/>
        </w:rPr>
        <w:t xml:space="preserve">For topics FoF 4, 6, 11, 12, these initial plans may address private funds, or assess synergies and possible cumulative funding with relevant national / regional research and innovation programmes and/or European Structural and Investment Funds related to smart specialisation strategies. For this </w:t>
      </w:r>
      <w:r>
        <w:rPr>
          <w:sz w:val="23"/>
          <w:szCs w:val="23"/>
        </w:rPr>
        <w:lastRenderedPageBreak/>
        <w:t>purpose the tools provided by the Smart Specialization Platform, Eye@RIS3</w:t>
      </w:r>
      <w:r>
        <w:rPr>
          <w:sz w:val="16"/>
          <w:szCs w:val="16"/>
        </w:rPr>
        <w:t xml:space="preserve"> </w:t>
      </w:r>
      <w:r>
        <w:rPr>
          <w:sz w:val="23"/>
          <w:szCs w:val="23"/>
        </w:rPr>
        <w:t>may be useful.</w:t>
      </w:r>
      <w:r>
        <w:rPr>
          <w:sz w:val="16"/>
          <w:szCs w:val="16"/>
        </w:rPr>
        <w:t xml:space="preserve"> </w:t>
      </w:r>
      <w:r>
        <w:rPr>
          <w:sz w:val="23"/>
          <w:szCs w:val="23"/>
        </w:rPr>
        <w:t>The results of these activities as well as the envisaged further activities in this respect should be described in the final report of the project.</w:t>
      </w:r>
    </w:p>
    <w:p w:rsidR="00BA6D6A" w:rsidRDefault="00BA6D6A" w:rsidP="00735116">
      <w:pPr>
        <w:pStyle w:val="Default"/>
        <w:rPr>
          <w:sz w:val="22"/>
          <w:szCs w:val="22"/>
        </w:rPr>
      </w:pPr>
    </w:p>
    <w:p w:rsidR="00A94623" w:rsidRDefault="00A94623" w:rsidP="00A94623">
      <w:pPr>
        <w:pStyle w:val="Default"/>
        <w:rPr>
          <w:sz w:val="23"/>
          <w:szCs w:val="23"/>
        </w:rPr>
      </w:pPr>
      <w:r w:rsidRPr="00A94623">
        <w:rPr>
          <w:sz w:val="23"/>
          <w:szCs w:val="23"/>
          <w:u w:val="single"/>
        </w:rPr>
        <w:t>Evaluation criteria</w:t>
      </w:r>
      <w:r>
        <w:rPr>
          <w:sz w:val="23"/>
          <w:szCs w:val="23"/>
        </w:rPr>
        <w:t xml:space="preserve">: </w:t>
      </w:r>
    </w:p>
    <w:p w:rsidR="00A94623" w:rsidRDefault="00A94623" w:rsidP="00A9462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The standard evaluation criteria apply, described in part H of the General Annexes to the Work Programme, with the following exceptions: </w:t>
      </w:r>
    </w:p>
    <w:p w:rsidR="00A94623" w:rsidRDefault="00A94623" w:rsidP="00A9462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The threshold for the criteria Excellence and Impact will be 4. The overall threshold, applying to the sum of the three individual scores, will be 12. </w:t>
      </w:r>
    </w:p>
    <w:p w:rsidR="00A94623" w:rsidRDefault="00A94623" w:rsidP="00A94623">
      <w:pPr>
        <w:pStyle w:val="Default"/>
        <w:rPr>
          <w:sz w:val="22"/>
          <w:szCs w:val="22"/>
        </w:rPr>
      </w:pPr>
      <w:r>
        <w:rPr>
          <w:sz w:val="23"/>
          <w:szCs w:val="23"/>
        </w:rPr>
        <w:t>In case of equal overall scores in the ranked list, the priority order of proposals will be established in accordance with part H of the General Annexes, except that proposals will be ranked on the basis of individual scores for the Impact criterion before the Excellence criterion.</w:t>
      </w:r>
    </w:p>
    <w:p w:rsidR="00A94623" w:rsidRDefault="00A94623" w:rsidP="00735116">
      <w:pPr>
        <w:pStyle w:val="Default"/>
        <w:rPr>
          <w:sz w:val="22"/>
          <w:szCs w:val="22"/>
        </w:rPr>
      </w:pPr>
    </w:p>
    <w:p w:rsidR="00A94623" w:rsidRDefault="00A94623" w:rsidP="00A9462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Topics FoF 6, 11, 12: </w:t>
      </w:r>
    </w:p>
    <w:p w:rsidR="00A94623" w:rsidRDefault="00A94623" w:rsidP="00A9462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The evaluation criteria are applied as follows: </w:t>
      </w:r>
    </w:p>
    <w:p w:rsidR="00A94623" w:rsidRDefault="00A94623" w:rsidP="00A94623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1. Excellence </w:t>
      </w:r>
    </w:p>
    <w:p w:rsidR="00A94623" w:rsidRDefault="00A94623" w:rsidP="00A94623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 Clarity and importance of the objectives; </w:t>
      </w:r>
    </w:p>
    <w:p w:rsidR="00A94623" w:rsidRDefault="00A94623" w:rsidP="00A94623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 Soundness of the concept, including trans disciplinary considerations; </w:t>
      </w:r>
    </w:p>
    <w:p w:rsidR="00A94623" w:rsidRDefault="00A94623" w:rsidP="00A94623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 Credibility of the proposed approach; </w:t>
      </w:r>
    </w:p>
    <w:p w:rsidR="00A94623" w:rsidRDefault="00A94623" w:rsidP="00A94623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 Readiness of the technology for implementing the pilot; </w:t>
      </w:r>
    </w:p>
    <w:p w:rsidR="00A94623" w:rsidRDefault="00A94623" w:rsidP="00A9462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 Progress beyond the state of the art in production. </w:t>
      </w:r>
    </w:p>
    <w:p w:rsidR="00A94623" w:rsidRDefault="00A94623" w:rsidP="00A94623">
      <w:pPr>
        <w:pStyle w:val="Default"/>
        <w:rPr>
          <w:sz w:val="23"/>
          <w:szCs w:val="23"/>
        </w:rPr>
      </w:pPr>
    </w:p>
    <w:p w:rsidR="00A94623" w:rsidRDefault="00A94623" w:rsidP="00A94623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2. Impact</w:t>
      </w:r>
    </w:p>
    <w:p w:rsidR="00A94623" w:rsidRDefault="00A94623" w:rsidP="00A9462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The extent to which the outputs of the project could contribute at the European and/or International level to: </w:t>
      </w:r>
    </w:p>
    <w:p w:rsidR="00A94623" w:rsidRDefault="00A94623" w:rsidP="00A94623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 The expected impacts listed in the work programme under the relevant topic; </w:t>
      </w:r>
    </w:p>
    <w:p w:rsidR="00A94623" w:rsidRDefault="00A94623" w:rsidP="00A94623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 Soundness of the business cases and business plans and commitment to first exploitation / manufacturing; </w:t>
      </w:r>
    </w:p>
    <w:p w:rsidR="00A94623" w:rsidRDefault="00A94623" w:rsidP="00A94623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 Evidence of the market potential and of the competitive technology advantage that will be gained through the pilot line; </w:t>
      </w:r>
    </w:p>
    <w:p w:rsidR="00A94623" w:rsidRDefault="00A94623" w:rsidP="00A94623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 Potential of creating jobs in Europe; </w:t>
      </w:r>
    </w:p>
    <w:p w:rsidR="00A94623" w:rsidRDefault="00A94623" w:rsidP="00A94623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 Effectiveness of the proposed measures to communicate the project, and disseminate the project results ,including appropriate management of IPR; </w:t>
      </w:r>
    </w:p>
    <w:p w:rsidR="00A94623" w:rsidRDefault="00A94623" w:rsidP="00A9462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 Contribution, where appropriate, to standards and to skills and educational training. </w:t>
      </w:r>
    </w:p>
    <w:p w:rsidR="00A94623" w:rsidRDefault="00A94623" w:rsidP="00A94623">
      <w:pPr>
        <w:pStyle w:val="Default"/>
        <w:rPr>
          <w:sz w:val="23"/>
          <w:szCs w:val="23"/>
        </w:rPr>
      </w:pPr>
    </w:p>
    <w:p w:rsidR="00A94623" w:rsidRDefault="00A94623" w:rsidP="00A94623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3. Quality and efficiency of the implementation </w:t>
      </w:r>
    </w:p>
    <w:p w:rsidR="00A94623" w:rsidRDefault="00A94623" w:rsidP="00A94623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 Coherence and effectiveness of the work plan, including appropriateness of the allocation of tasks and resources; </w:t>
      </w:r>
    </w:p>
    <w:p w:rsidR="00A94623" w:rsidRDefault="00A94623" w:rsidP="00A94623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 Coverage of the value chain (RTOs, materials, equipment and technology suppliers and end-users); </w:t>
      </w:r>
    </w:p>
    <w:p w:rsidR="00A94623" w:rsidRDefault="00A94623" w:rsidP="00A94623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 Competences, experience and complementarity of the individual participants, as well as of the consortium as a whole;* </w:t>
      </w:r>
    </w:p>
    <w:p w:rsidR="00A94623" w:rsidRDefault="00A94623" w:rsidP="00A9462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 Appropriateness of the management structures and procedures, including risk management. </w:t>
      </w:r>
    </w:p>
    <w:p w:rsidR="00A94623" w:rsidRDefault="00A94623" w:rsidP="00A94623">
      <w:pPr>
        <w:pStyle w:val="Default"/>
        <w:rPr>
          <w:sz w:val="23"/>
          <w:szCs w:val="23"/>
        </w:rPr>
      </w:pPr>
    </w:p>
    <w:p w:rsidR="00A94623" w:rsidRDefault="00A94623" w:rsidP="00A94623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Operati</w:t>
      </w:r>
      <w:bookmarkStart w:id="0" w:name="_GoBack"/>
      <w:bookmarkEnd w:id="0"/>
      <w:r>
        <w:rPr>
          <w:b/>
          <w:bCs/>
          <w:sz w:val="23"/>
          <w:szCs w:val="23"/>
        </w:rPr>
        <w:t xml:space="preserve">onal Capacity (selection criterion) </w:t>
      </w:r>
    </w:p>
    <w:p w:rsidR="00A94623" w:rsidRDefault="00A94623" w:rsidP="00A94623">
      <w:pPr>
        <w:pStyle w:val="Default"/>
        <w:rPr>
          <w:sz w:val="22"/>
          <w:szCs w:val="22"/>
        </w:rPr>
      </w:pPr>
      <w:r>
        <w:rPr>
          <w:sz w:val="23"/>
          <w:szCs w:val="23"/>
        </w:rPr>
        <w:t>* As a separate step in the evaluation, expert evaluators must indicate whether the members of the consortium possess at least the minimum competences needed to carry out the proposed work.</w:t>
      </w:r>
    </w:p>
    <w:p w:rsidR="00BA6D6A" w:rsidRDefault="00BA6D6A" w:rsidP="00735116">
      <w:pPr>
        <w:pStyle w:val="Default"/>
        <w:rPr>
          <w:sz w:val="22"/>
          <w:szCs w:val="22"/>
        </w:rPr>
      </w:pPr>
    </w:p>
    <w:p w:rsidR="00BA6D6A" w:rsidRDefault="00A94623" w:rsidP="00735116">
      <w:pPr>
        <w:pStyle w:val="Default"/>
        <w:rPr>
          <w:sz w:val="23"/>
          <w:szCs w:val="23"/>
        </w:rPr>
      </w:pPr>
      <w:r w:rsidRPr="00A94623">
        <w:rPr>
          <w:sz w:val="23"/>
          <w:szCs w:val="23"/>
          <w:u w:val="single"/>
        </w:rPr>
        <w:t>Evaluation procedure</w:t>
      </w:r>
      <w:r>
        <w:rPr>
          <w:sz w:val="23"/>
          <w:szCs w:val="23"/>
        </w:rPr>
        <w:t>: The full evaluation procedure is described in the relevant guide associated with this call.</w:t>
      </w:r>
    </w:p>
    <w:p w:rsidR="00A94623" w:rsidRDefault="00A94623" w:rsidP="00735116">
      <w:pPr>
        <w:pStyle w:val="Default"/>
        <w:rPr>
          <w:sz w:val="23"/>
          <w:szCs w:val="23"/>
        </w:rPr>
      </w:pPr>
    </w:p>
    <w:p w:rsidR="00A94623" w:rsidRDefault="00A94623" w:rsidP="00735116">
      <w:pPr>
        <w:pStyle w:val="Default"/>
        <w:rPr>
          <w:sz w:val="23"/>
          <w:szCs w:val="23"/>
        </w:rPr>
      </w:pPr>
      <w:r w:rsidRPr="00A94623">
        <w:rPr>
          <w:sz w:val="23"/>
          <w:szCs w:val="23"/>
          <w:u w:val="single"/>
        </w:rPr>
        <w:t>Consortium agreements</w:t>
      </w:r>
      <w:r>
        <w:rPr>
          <w:sz w:val="23"/>
          <w:szCs w:val="23"/>
        </w:rPr>
        <w:t>: Signature of consortium agreements will be compulsory before the signature of the Grant Agreement for all Research and Innovation and all Innovation Actions.</w:t>
      </w:r>
    </w:p>
    <w:p w:rsidR="00A94623" w:rsidRDefault="00A94623" w:rsidP="00735116">
      <w:pPr>
        <w:pStyle w:val="Default"/>
        <w:rPr>
          <w:sz w:val="22"/>
          <w:szCs w:val="22"/>
        </w:rPr>
      </w:pPr>
    </w:p>
    <w:sectPr w:rsidR="00A94623" w:rsidSect="000562B4">
      <w:pgSz w:w="11906" w:h="16838"/>
      <w:pgMar w:top="1276" w:right="991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9F6EEE"/>
    <w:multiLevelType w:val="hybridMultilevel"/>
    <w:tmpl w:val="717879F6"/>
    <w:lvl w:ilvl="0" w:tplc="1404378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  <w:sz w:val="23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364"/>
    <w:rsid w:val="0001480B"/>
    <w:rsid w:val="00031576"/>
    <w:rsid w:val="00032C1B"/>
    <w:rsid w:val="000562B4"/>
    <w:rsid w:val="00083364"/>
    <w:rsid w:val="00235E1E"/>
    <w:rsid w:val="00276C16"/>
    <w:rsid w:val="002F3FB2"/>
    <w:rsid w:val="002F7EBC"/>
    <w:rsid w:val="00442A8C"/>
    <w:rsid w:val="005721E6"/>
    <w:rsid w:val="005F47F4"/>
    <w:rsid w:val="00640B93"/>
    <w:rsid w:val="006B14EA"/>
    <w:rsid w:val="006D69C2"/>
    <w:rsid w:val="00735116"/>
    <w:rsid w:val="00810A75"/>
    <w:rsid w:val="00A94623"/>
    <w:rsid w:val="00AC4830"/>
    <w:rsid w:val="00BA6D6A"/>
    <w:rsid w:val="00BA71FE"/>
    <w:rsid w:val="00BF1330"/>
    <w:rsid w:val="00C20581"/>
    <w:rsid w:val="00C91B26"/>
    <w:rsid w:val="00CE1AFD"/>
    <w:rsid w:val="00CF0C52"/>
    <w:rsid w:val="00D26C64"/>
    <w:rsid w:val="00D9068F"/>
    <w:rsid w:val="00DD5347"/>
    <w:rsid w:val="00EF4E59"/>
    <w:rsid w:val="00F16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lang w:val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351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BA6D6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lang w:val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351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BA6D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1166</TotalTime>
  <Pages>2</Pages>
  <Words>868</Words>
  <Characters>4954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</dc:creator>
  <cp:lastModifiedBy>MB</cp:lastModifiedBy>
  <cp:revision>6</cp:revision>
  <dcterms:created xsi:type="dcterms:W3CDTF">2014-04-15T07:54:00Z</dcterms:created>
  <dcterms:modified xsi:type="dcterms:W3CDTF">2014-04-15T08:11:00Z</dcterms:modified>
</cp:coreProperties>
</file>