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16" w:rsidRDefault="00735116" w:rsidP="007351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>
        <w:rPr>
          <w:b/>
          <w:bCs/>
          <w:sz w:val="26"/>
          <w:szCs w:val="26"/>
        </w:rPr>
        <w:t xml:space="preserve">ORIZON </w:t>
      </w:r>
      <w:r>
        <w:rPr>
          <w:b/>
          <w:bCs/>
          <w:sz w:val="32"/>
          <w:szCs w:val="32"/>
        </w:rPr>
        <w:t xml:space="preserve">2020 </w:t>
      </w:r>
    </w:p>
    <w:p w:rsidR="00D9068F" w:rsidRDefault="00083364" w:rsidP="0073511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ORK PROGRAMME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2014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</w:rPr>
        <w:t>2015</w:t>
      </w:r>
    </w:p>
    <w:p w:rsidR="00083364" w:rsidRDefault="00083364" w:rsidP="00083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5. Leadership in enabling and industrial technologies</w:t>
      </w:r>
    </w:p>
    <w:p w:rsidR="00083364" w:rsidRPr="00477DE4" w:rsidRDefault="00083364" w:rsidP="00083364">
      <w:pPr>
        <w:rPr>
          <w:rFonts w:ascii="Times New Roman" w:hAnsi="Times New Roman" w:cs="Times New Roman"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>. Information and Communication Technologies</w:t>
      </w:r>
      <w:r w:rsidR="00477DE4">
        <w:rPr>
          <w:rFonts w:ascii="Times New Roman" w:hAnsi="Times New Roman" w:cs="Times New Roman"/>
          <w:i/>
          <w:iCs/>
          <w:sz w:val="32"/>
          <w:szCs w:val="32"/>
        </w:rPr>
        <w:br/>
      </w:r>
      <w:r w:rsidR="00477DE4" w:rsidRPr="00477DE4">
        <w:rPr>
          <w:rFonts w:ascii="Times New Roman" w:hAnsi="Times New Roman" w:cs="Times New Roman"/>
          <w:iCs/>
          <w:sz w:val="20"/>
          <w:szCs w:val="20"/>
        </w:rPr>
        <w:t>http://ec.europa.eu/research/participants/data/ref/h2020/wp/2014_2015/main/h2020-wp1415-leit-ict_en.pdf</w:t>
      </w:r>
    </w:p>
    <w:p w:rsidR="00477DE4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</w:rPr>
      </w:pPr>
      <w:bookmarkStart w:id="0" w:name="_GoBack"/>
      <w:bookmarkEnd w:id="0"/>
    </w:p>
    <w:p w:rsidR="00083364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</w:rPr>
      </w:pPr>
      <w:r w:rsidRPr="00477DE4">
        <w:rPr>
          <w:b/>
          <w:bCs/>
          <w:i/>
          <w:iCs/>
          <w:sz w:val="23"/>
          <w:szCs w:val="23"/>
          <w:u w:val="single"/>
        </w:rPr>
        <w:t>Témy:</w:t>
      </w:r>
    </w:p>
    <w:p w:rsidR="00477DE4" w:rsidRPr="00477DE4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735116" w:rsidRDefault="00735116" w:rsidP="0073511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 new </w:t>
      </w:r>
      <w:proofErr w:type="spellStart"/>
      <w:r>
        <w:rPr>
          <w:b/>
          <w:bCs/>
          <w:i/>
          <w:iCs/>
          <w:sz w:val="23"/>
          <w:szCs w:val="23"/>
        </w:rPr>
        <w:t>generation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of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components</w:t>
      </w:r>
      <w:proofErr w:type="spellEnd"/>
      <w:r>
        <w:rPr>
          <w:b/>
          <w:bCs/>
          <w:i/>
          <w:iCs/>
          <w:sz w:val="23"/>
          <w:szCs w:val="23"/>
        </w:rPr>
        <w:t xml:space="preserve"> and </w:t>
      </w:r>
      <w:proofErr w:type="spellStart"/>
      <w:r>
        <w:rPr>
          <w:b/>
          <w:bCs/>
          <w:i/>
          <w:iCs/>
          <w:sz w:val="23"/>
          <w:szCs w:val="23"/>
        </w:rPr>
        <w:t>systems</w:t>
      </w:r>
      <w:proofErr w:type="spellEnd"/>
      <w:r>
        <w:rPr>
          <w:b/>
          <w:bCs/>
          <w:i/>
          <w:iCs/>
          <w:sz w:val="23"/>
          <w:szCs w:val="23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 – 2014: </w:t>
      </w:r>
      <w:proofErr w:type="spellStart"/>
      <w:r>
        <w:rPr>
          <w:sz w:val="22"/>
          <w:szCs w:val="22"/>
        </w:rPr>
        <w:t>Smart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Cyber-Physical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Systems</w:t>
      </w:r>
      <w:proofErr w:type="spellEnd"/>
      <w:r>
        <w:rPr>
          <w:sz w:val="22"/>
          <w:szCs w:val="22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ICT 2 – 2014: </w:t>
      </w:r>
      <w:proofErr w:type="spellStart"/>
      <w:r>
        <w:rPr>
          <w:sz w:val="22"/>
          <w:szCs w:val="22"/>
        </w:rPr>
        <w:t>Smart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Integration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3 – 2014: </w:t>
      </w:r>
      <w:proofErr w:type="spellStart"/>
      <w:r>
        <w:rPr>
          <w:sz w:val="22"/>
          <w:szCs w:val="22"/>
        </w:rPr>
        <w:t>Advanced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Organic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Large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Electronics</w:t>
      </w:r>
      <w:proofErr w:type="spellEnd"/>
      <w:r>
        <w:rPr>
          <w:sz w:val="22"/>
          <w:szCs w:val="22"/>
        </w:rPr>
        <w:t xml:space="preserve"> (TOLAE) </w:t>
      </w:r>
      <w:proofErr w:type="spellStart"/>
      <w:r>
        <w:rPr>
          <w:sz w:val="22"/>
          <w:szCs w:val="22"/>
        </w:rPr>
        <w:t>technologies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Advanced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Computing</w:t>
      </w:r>
      <w:proofErr w:type="spellEnd"/>
      <w:r>
        <w:rPr>
          <w:b/>
          <w:bCs/>
          <w:i/>
          <w:iCs/>
          <w:sz w:val="23"/>
          <w:szCs w:val="23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4 – 2015: </w:t>
      </w:r>
      <w:proofErr w:type="spellStart"/>
      <w:r>
        <w:rPr>
          <w:sz w:val="22"/>
          <w:szCs w:val="22"/>
        </w:rPr>
        <w:t>Customised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low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computing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Future</w:t>
      </w:r>
      <w:proofErr w:type="spellEnd"/>
      <w:r>
        <w:rPr>
          <w:b/>
          <w:bCs/>
          <w:i/>
          <w:iCs/>
          <w:sz w:val="23"/>
          <w:szCs w:val="23"/>
        </w:rPr>
        <w:t xml:space="preserve"> Internet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5 – 2014: </w:t>
      </w:r>
      <w:proofErr w:type="spellStart"/>
      <w:r>
        <w:rPr>
          <w:sz w:val="22"/>
          <w:szCs w:val="22"/>
        </w:rPr>
        <w:t>Smart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Networks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novel</w:t>
      </w:r>
      <w:proofErr w:type="spellEnd"/>
      <w:r>
        <w:rPr>
          <w:sz w:val="22"/>
          <w:szCs w:val="22"/>
        </w:rPr>
        <w:t xml:space="preserve"> Internet </w:t>
      </w:r>
      <w:proofErr w:type="spellStart"/>
      <w:r>
        <w:rPr>
          <w:sz w:val="22"/>
          <w:szCs w:val="22"/>
        </w:rPr>
        <w:t>Architectures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6 – 2014: </w:t>
      </w:r>
      <w:proofErr w:type="spellStart"/>
      <w:r>
        <w:rPr>
          <w:sz w:val="22"/>
          <w:szCs w:val="22"/>
        </w:rPr>
        <w:t>Smart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optical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wireless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network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technologies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7 – 2014: </w:t>
      </w:r>
      <w:proofErr w:type="spellStart"/>
      <w:r>
        <w:rPr>
          <w:sz w:val="22"/>
          <w:szCs w:val="22"/>
        </w:rPr>
        <w:t>Advanced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Cloud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Infrastructures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8 – 2015: </w:t>
      </w:r>
      <w:proofErr w:type="spellStart"/>
      <w:r>
        <w:rPr>
          <w:sz w:val="22"/>
          <w:szCs w:val="22"/>
        </w:rPr>
        <w:t>Boosting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productivity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innovation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thro</w:t>
      </w:r>
      <w:r w:rsidR="006D69C2">
        <w:rPr>
          <w:sz w:val="22"/>
          <w:szCs w:val="22"/>
        </w:rPr>
        <w:t>ugh</w:t>
      </w:r>
      <w:proofErr w:type="spellEnd"/>
      <w:r w:rsidR="006D69C2">
        <w:rPr>
          <w:sz w:val="22"/>
          <w:szCs w:val="22"/>
        </w:rPr>
        <w:t xml:space="preserve"> </w:t>
      </w:r>
      <w:proofErr w:type="spellStart"/>
      <w:r w:rsidR="006D69C2">
        <w:rPr>
          <w:sz w:val="22"/>
          <w:szCs w:val="22"/>
        </w:rPr>
        <w:t>cloud</w:t>
      </w:r>
      <w:proofErr w:type="spellEnd"/>
      <w:r w:rsidR="006D69C2">
        <w:rPr>
          <w:sz w:val="22"/>
          <w:szCs w:val="22"/>
        </w:rPr>
        <w:t xml:space="preserve"> </w:t>
      </w:r>
      <w:proofErr w:type="spellStart"/>
      <w:r w:rsidR="006D69C2">
        <w:rPr>
          <w:sz w:val="22"/>
          <w:szCs w:val="22"/>
        </w:rPr>
        <w:t>computing</w:t>
      </w:r>
      <w:proofErr w:type="spellEnd"/>
      <w:r w:rsidR="006D69C2">
        <w:rPr>
          <w:sz w:val="22"/>
          <w:szCs w:val="22"/>
        </w:rPr>
        <w:t xml:space="preserve"> </w:t>
      </w:r>
      <w:proofErr w:type="spellStart"/>
      <w:r w:rsidR="006D69C2">
        <w:rPr>
          <w:sz w:val="22"/>
          <w:szCs w:val="22"/>
        </w:rPr>
        <w:t>services</w:t>
      </w:r>
      <w:proofErr w:type="spellEnd"/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9 – 2014: </w:t>
      </w:r>
      <w:proofErr w:type="spellStart"/>
      <w:r>
        <w:rPr>
          <w:sz w:val="22"/>
          <w:szCs w:val="22"/>
        </w:rPr>
        <w:t>Tools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Software </w:t>
      </w:r>
      <w:proofErr w:type="spellStart"/>
      <w:r>
        <w:rPr>
          <w:sz w:val="22"/>
          <w:szCs w:val="22"/>
        </w:rPr>
        <w:t>Development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10 – 2015: </w:t>
      </w:r>
      <w:proofErr w:type="spellStart"/>
      <w:r>
        <w:rPr>
          <w:sz w:val="22"/>
          <w:szCs w:val="22"/>
        </w:rPr>
        <w:t>Collective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Awareness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Platforms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Sustainability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Innovation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ICT 11 – 2014: FIRE+ (</w:t>
      </w:r>
      <w:proofErr w:type="spellStart"/>
      <w:r>
        <w:rPr>
          <w:sz w:val="22"/>
          <w:szCs w:val="22"/>
        </w:rPr>
        <w:t>Future</w:t>
      </w:r>
      <w:proofErr w:type="spellEnd"/>
      <w:r>
        <w:rPr>
          <w:sz w:val="22"/>
          <w:szCs w:val="22"/>
        </w:rPr>
        <w:t xml:space="preserve"> Internet </w:t>
      </w:r>
      <w:proofErr w:type="spellStart"/>
      <w:r>
        <w:rPr>
          <w:sz w:val="22"/>
          <w:szCs w:val="22"/>
        </w:rPr>
        <w:t>Research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Experimentation</w:t>
      </w:r>
      <w:proofErr w:type="spellEnd"/>
      <w:r>
        <w:rPr>
          <w:sz w:val="22"/>
          <w:szCs w:val="22"/>
        </w:rPr>
        <w:t xml:space="preserve">)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12 – 2015: </w:t>
      </w:r>
      <w:proofErr w:type="spellStart"/>
      <w:r>
        <w:rPr>
          <w:sz w:val="22"/>
          <w:szCs w:val="22"/>
        </w:rPr>
        <w:t>Integrating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experiments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facilities</w:t>
      </w:r>
      <w:proofErr w:type="spellEnd"/>
      <w:r>
        <w:rPr>
          <w:sz w:val="22"/>
          <w:szCs w:val="22"/>
        </w:rPr>
        <w:t xml:space="preserve"> in FIRE+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13 – 2014: Web </w:t>
      </w:r>
      <w:proofErr w:type="spellStart"/>
      <w:r>
        <w:rPr>
          <w:sz w:val="22"/>
          <w:szCs w:val="22"/>
        </w:rPr>
        <w:t>Entrepreneurship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14 – 2014: </w:t>
      </w:r>
      <w:proofErr w:type="spellStart"/>
      <w:r>
        <w:rPr>
          <w:sz w:val="22"/>
          <w:szCs w:val="22"/>
        </w:rPr>
        <w:t>Advanced</w:t>
      </w:r>
      <w:proofErr w:type="spellEnd"/>
      <w:r>
        <w:rPr>
          <w:sz w:val="22"/>
          <w:szCs w:val="22"/>
        </w:rPr>
        <w:t xml:space="preserve"> 5G </w:t>
      </w:r>
      <w:proofErr w:type="spellStart"/>
      <w:r>
        <w:rPr>
          <w:sz w:val="22"/>
          <w:szCs w:val="22"/>
        </w:rPr>
        <w:t>Network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Infrastructure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Future</w:t>
      </w:r>
      <w:proofErr w:type="spellEnd"/>
      <w:r>
        <w:rPr>
          <w:sz w:val="22"/>
          <w:szCs w:val="22"/>
        </w:rPr>
        <w:t xml:space="preserve"> Internet  </w:t>
      </w:r>
    </w:p>
    <w:p w:rsidR="00735116" w:rsidRDefault="00735116" w:rsidP="00735116">
      <w:pPr>
        <w:pStyle w:val="Default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Content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technologies</w:t>
      </w:r>
      <w:proofErr w:type="spellEnd"/>
      <w:r>
        <w:rPr>
          <w:b/>
          <w:bCs/>
          <w:i/>
          <w:iCs/>
          <w:sz w:val="23"/>
          <w:szCs w:val="23"/>
        </w:rPr>
        <w:t xml:space="preserve"> and </w:t>
      </w:r>
      <w:proofErr w:type="spellStart"/>
      <w:r>
        <w:rPr>
          <w:b/>
          <w:bCs/>
          <w:i/>
          <w:iCs/>
          <w:sz w:val="23"/>
          <w:szCs w:val="23"/>
        </w:rPr>
        <w:t>information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management</w:t>
      </w:r>
      <w:proofErr w:type="spellEnd"/>
      <w:r>
        <w:rPr>
          <w:b/>
          <w:bCs/>
          <w:i/>
          <w:iCs/>
          <w:sz w:val="23"/>
          <w:szCs w:val="23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15 – 2014: Big </w:t>
      </w:r>
      <w:proofErr w:type="spellStart"/>
      <w:r>
        <w:rPr>
          <w:sz w:val="22"/>
          <w:szCs w:val="22"/>
        </w:rPr>
        <w:t>data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Open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Innovation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take-up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16 – 2015: Big </w:t>
      </w:r>
      <w:proofErr w:type="spellStart"/>
      <w:r>
        <w:rPr>
          <w:sz w:val="22"/>
          <w:szCs w:val="22"/>
        </w:rPr>
        <w:t>data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research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17 – 2014: </w:t>
      </w:r>
      <w:proofErr w:type="spellStart"/>
      <w:r>
        <w:rPr>
          <w:sz w:val="22"/>
          <w:szCs w:val="22"/>
        </w:rPr>
        <w:t>Cracking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language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barrier</w:t>
      </w:r>
      <w:proofErr w:type="spellEnd"/>
      <w:r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18 – 2014: </w:t>
      </w:r>
      <w:proofErr w:type="spellStart"/>
      <w:r>
        <w:rPr>
          <w:sz w:val="22"/>
          <w:szCs w:val="22"/>
        </w:rPr>
        <w:t>Support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ICT </w:t>
      </w:r>
      <w:proofErr w:type="spellStart"/>
      <w:r>
        <w:rPr>
          <w:sz w:val="22"/>
          <w:szCs w:val="22"/>
        </w:rPr>
        <w:t>innovative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SMEs</w:t>
      </w:r>
      <w:proofErr w:type="spellEnd"/>
      <w:r>
        <w:rPr>
          <w:sz w:val="22"/>
          <w:szCs w:val="22"/>
        </w:rPr>
        <w:t xml:space="preserve">  </w:t>
      </w:r>
    </w:p>
    <w:p w:rsidR="006D69C2" w:rsidRDefault="00735116" w:rsidP="006D69C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ICT 19 – 2015: Technologies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media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convergence</w:t>
      </w:r>
      <w:proofErr w:type="spellEnd"/>
      <w:r>
        <w:rPr>
          <w:sz w:val="22"/>
          <w:szCs w:val="22"/>
        </w:rPr>
        <w:t xml:space="preserve">. </w:t>
      </w:r>
    </w:p>
    <w:p w:rsidR="00735116" w:rsidRDefault="00735116" w:rsidP="006D69C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20 – 2015: Technologies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better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human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learning</w:t>
      </w:r>
      <w:proofErr w:type="spellEnd"/>
      <w:r>
        <w:rPr>
          <w:color w:val="auto"/>
          <w:sz w:val="22"/>
          <w:szCs w:val="22"/>
        </w:rPr>
        <w:t xml:space="preserve"> and </w:t>
      </w:r>
      <w:proofErr w:type="spellStart"/>
      <w:r>
        <w:rPr>
          <w:color w:val="auto"/>
          <w:sz w:val="22"/>
          <w:szCs w:val="22"/>
        </w:rPr>
        <w:t>teaching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21 – 2014: </w:t>
      </w:r>
      <w:proofErr w:type="spellStart"/>
      <w:r>
        <w:rPr>
          <w:color w:val="auto"/>
          <w:sz w:val="22"/>
          <w:szCs w:val="22"/>
        </w:rPr>
        <w:t>Advanced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digital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gaming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gamification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technologies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22 – 2014: </w:t>
      </w:r>
      <w:proofErr w:type="spellStart"/>
      <w:r>
        <w:rPr>
          <w:color w:val="auto"/>
          <w:sz w:val="22"/>
          <w:szCs w:val="22"/>
        </w:rPr>
        <w:t>Multimodal</w:t>
      </w:r>
      <w:proofErr w:type="spellEnd"/>
      <w:r>
        <w:rPr>
          <w:color w:val="auto"/>
          <w:sz w:val="22"/>
          <w:szCs w:val="22"/>
        </w:rPr>
        <w:t xml:space="preserve"> and </w:t>
      </w:r>
      <w:proofErr w:type="spellStart"/>
      <w:r>
        <w:rPr>
          <w:color w:val="auto"/>
          <w:sz w:val="22"/>
          <w:szCs w:val="22"/>
        </w:rPr>
        <w:t>Natural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computer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interaction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i/>
          <w:iCs/>
          <w:color w:val="auto"/>
          <w:sz w:val="23"/>
          <w:szCs w:val="23"/>
        </w:rPr>
        <w:t>Robotics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23 – 2014: </w:t>
      </w:r>
      <w:proofErr w:type="spellStart"/>
      <w:r>
        <w:rPr>
          <w:color w:val="auto"/>
          <w:sz w:val="22"/>
          <w:szCs w:val="22"/>
        </w:rPr>
        <w:t>Robotics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24 – 2015: </w:t>
      </w:r>
      <w:proofErr w:type="spellStart"/>
      <w:r>
        <w:rPr>
          <w:color w:val="auto"/>
          <w:sz w:val="22"/>
          <w:szCs w:val="22"/>
        </w:rPr>
        <w:t>Robotics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i/>
          <w:iCs/>
          <w:color w:val="auto"/>
          <w:sz w:val="23"/>
          <w:szCs w:val="23"/>
        </w:rPr>
        <w:t>Micro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- and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nano-electronic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technologies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,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Photonics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25 – 2015: </w:t>
      </w:r>
      <w:proofErr w:type="spellStart"/>
      <w:r>
        <w:rPr>
          <w:color w:val="auto"/>
          <w:sz w:val="22"/>
          <w:szCs w:val="22"/>
        </w:rPr>
        <w:t>Generic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micro</w:t>
      </w:r>
      <w:proofErr w:type="spellEnd"/>
      <w:r>
        <w:rPr>
          <w:color w:val="auto"/>
          <w:sz w:val="22"/>
          <w:szCs w:val="22"/>
        </w:rPr>
        <w:t xml:space="preserve">- and </w:t>
      </w:r>
      <w:proofErr w:type="spellStart"/>
      <w:r>
        <w:rPr>
          <w:color w:val="auto"/>
          <w:sz w:val="22"/>
          <w:szCs w:val="22"/>
        </w:rPr>
        <w:t>nano-electronic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technologies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26 – 2014: </w:t>
      </w:r>
      <w:proofErr w:type="spellStart"/>
      <w:r>
        <w:rPr>
          <w:color w:val="auto"/>
          <w:sz w:val="22"/>
          <w:szCs w:val="22"/>
        </w:rPr>
        <w:t>Photonics</w:t>
      </w:r>
      <w:proofErr w:type="spellEnd"/>
      <w:r>
        <w:rPr>
          <w:color w:val="auto"/>
          <w:sz w:val="22"/>
          <w:szCs w:val="22"/>
        </w:rPr>
        <w:t xml:space="preserve"> KET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27 – 2015: </w:t>
      </w:r>
      <w:proofErr w:type="spellStart"/>
      <w:r>
        <w:rPr>
          <w:color w:val="auto"/>
          <w:sz w:val="22"/>
          <w:szCs w:val="22"/>
        </w:rPr>
        <w:t>Photonics</w:t>
      </w:r>
      <w:proofErr w:type="spellEnd"/>
      <w:r>
        <w:rPr>
          <w:color w:val="auto"/>
          <w:sz w:val="22"/>
          <w:szCs w:val="22"/>
        </w:rPr>
        <w:t xml:space="preserve"> KET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28 – 2015: </w:t>
      </w:r>
      <w:proofErr w:type="spellStart"/>
      <w:r>
        <w:rPr>
          <w:color w:val="auto"/>
          <w:sz w:val="22"/>
          <w:szCs w:val="22"/>
        </w:rPr>
        <w:t>Cross-cutting</w:t>
      </w:r>
      <w:proofErr w:type="spellEnd"/>
      <w:r>
        <w:rPr>
          <w:color w:val="auto"/>
          <w:sz w:val="22"/>
          <w:szCs w:val="22"/>
        </w:rPr>
        <w:t xml:space="preserve"> ICT </w:t>
      </w:r>
      <w:proofErr w:type="spellStart"/>
      <w:r>
        <w:rPr>
          <w:color w:val="auto"/>
          <w:sz w:val="22"/>
          <w:szCs w:val="22"/>
        </w:rPr>
        <w:t>KETs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29 – 2014 </w:t>
      </w:r>
      <w:proofErr w:type="spellStart"/>
      <w:r>
        <w:rPr>
          <w:color w:val="auto"/>
          <w:sz w:val="22"/>
          <w:szCs w:val="22"/>
        </w:rPr>
        <w:t>Development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of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novel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materials</w:t>
      </w:r>
      <w:proofErr w:type="spellEnd"/>
      <w:r>
        <w:rPr>
          <w:color w:val="auto"/>
          <w:sz w:val="22"/>
          <w:szCs w:val="22"/>
        </w:rPr>
        <w:t xml:space="preserve"> and </w:t>
      </w:r>
      <w:proofErr w:type="spellStart"/>
      <w:r>
        <w:rPr>
          <w:color w:val="auto"/>
          <w:sz w:val="22"/>
          <w:szCs w:val="22"/>
        </w:rPr>
        <w:t>systems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OLED </w:t>
      </w:r>
      <w:proofErr w:type="spellStart"/>
      <w:r>
        <w:rPr>
          <w:color w:val="auto"/>
          <w:sz w:val="22"/>
          <w:szCs w:val="22"/>
        </w:rPr>
        <w:t>lighting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ICT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Cross-Cutting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Activities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30 – 2015: Internet </w:t>
      </w:r>
      <w:proofErr w:type="spellStart"/>
      <w:r>
        <w:rPr>
          <w:color w:val="auto"/>
          <w:sz w:val="22"/>
          <w:szCs w:val="22"/>
        </w:rPr>
        <w:t>of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Things</w:t>
      </w:r>
      <w:proofErr w:type="spellEnd"/>
      <w:r>
        <w:rPr>
          <w:color w:val="auto"/>
          <w:sz w:val="22"/>
          <w:szCs w:val="22"/>
        </w:rPr>
        <w:t xml:space="preserve"> and </w:t>
      </w:r>
      <w:proofErr w:type="spellStart"/>
      <w:r>
        <w:rPr>
          <w:color w:val="auto"/>
          <w:sz w:val="22"/>
          <w:szCs w:val="22"/>
        </w:rPr>
        <w:t>Platforms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Connected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Smart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Objects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31 – 2014: </w:t>
      </w:r>
      <w:proofErr w:type="spellStart"/>
      <w:r>
        <w:rPr>
          <w:color w:val="auto"/>
          <w:sz w:val="22"/>
          <w:szCs w:val="22"/>
        </w:rPr>
        <w:t>Human-centric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Digital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Age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32 – 2014: </w:t>
      </w:r>
      <w:proofErr w:type="spellStart"/>
      <w:r>
        <w:rPr>
          <w:color w:val="auto"/>
          <w:sz w:val="22"/>
          <w:szCs w:val="22"/>
        </w:rPr>
        <w:t>Cybersecurity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Trustworthy</w:t>
      </w:r>
      <w:proofErr w:type="spellEnd"/>
      <w:r>
        <w:rPr>
          <w:color w:val="auto"/>
          <w:sz w:val="22"/>
          <w:szCs w:val="22"/>
        </w:rPr>
        <w:t xml:space="preserve"> ICT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33 – 2014: </w:t>
      </w:r>
      <w:proofErr w:type="spellStart"/>
      <w:r>
        <w:rPr>
          <w:color w:val="auto"/>
          <w:sz w:val="22"/>
          <w:szCs w:val="22"/>
        </w:rPr>
        <w:t>Trans-national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co-operation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among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National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Contact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Points</w:t>
      </w:r>
      <w:proofErr w:type="spellEnd"/>
      <w:r>
        <w:rPr>
          <w:color w:val="auto"/>
          <w:sz w:val="22"/>
          <w:szCs w:val="22"/>
        </w:rPr>
        <w:t xml:space="preserve">  </w:t>
      </w:r>
    </w:p>
    <w:p w:rsidR="006D69C2" w:rsidRDefault="00735116" w:rsidP="00735116">
      <w:pPr>
        <w:pStyle w:val="Default"/>
        <w:rPr>
          <w:b/>
          <w:bCs/>
          <w:i/>
          <w:iCs/>
          <w:color w:val="auto"/>
          <w:sz w:val="23"/>
          <w:szCs w:val="23"/>
        </w:rPr>
      </w:pPr>
      <w:proofErr w:type="spellStart"/>
      <w:r>
        <w:rPr>
          <w:b/>
          <w:bCs/>
          <w:i/>
          <w:iCs/>
          <w:color w:val="auto"/>
          <w:sz w:val="23"/>
          <w:szCs w:val="23"/>
        </w:rPr>
        <w:t>Horizontal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ICT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Innovation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actions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ICT 34 – 2015: ICT </w:t>
      </w:r>
      <w:proofErr w:type="spellStart"/>
      <w:r>
        <w:rPr>
          <w:color w:val="auto"/>
          <w:sz w:val="22"/>
          <w:szCs w:val="22"/>
        </w:rPr>
        <w:t>contribution</w:t>
      </w:r>
      <w:proofErr w:type="spellEnd"/>
      <w:r>
        <w:rPr>
          <w:color w:val="auto"/>
          <w:sz w:val="22"/>
          <w:szCs w:val="22"/>
        </w:rPr>
        <w:t xml:space="preserve"> to pilot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</w:t>
      </w:r>
      <w:proofErr w:type="spellEnd"/>
      <w:r>
        <w:rPr>
          <w:color w:val="auto"/>
          <w:sz w:val="22"/>
          <w:szCs w:val="22"/>
        </w:rPr>
        <w:t>–</w:t>
      </w:r>
      <w:proofErr w:type="spellStart"/>
      <w:r>
        <w:rPr>
          <w:color w:val="auto"/>
          <w:sz w:val="22"/>
          <w:szCs w:val="22"/>
        </w:rPr>
        <w:t>investments</w:t>
      </w:r>
      <w:proofErr w:type="spellEnd"/>
      <w:r>
        <w:rPr>
          <w:color w:val="auto"/>
          <w:sz w:val="22"/>
          <w:szCs w:val="22"/>
        </w:rPr>
        <w:t xml:space="preserve"> by </w:t>
      </w:r>
      <w:proofErr w:type="spellStart"/>
      <w:r>
        <w:rPr>
          <w:color w:val="auto"/>
          <w:sz w:val="22"/>
          <w:szCs w:val="22"/>
        </w:rPr>
        <w:t>business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</w:t>
      </w:r>
      <w:r w:rsidR="006D69C2">
        <w:rPr>
          <w:color w:val="auto"/>
          <w:sz w:val="22"/>
          <w:szCs w:val="22"/>
        </w:rPr>
        <w:t>gels</w:t>
      </w:r>
      <w:proofErr w:type="spellEnd"/>
      <w:r w:rsidR="006D69C2">
        <w:rPr>
          <w:color w:val="auto"/>
          <w:sz w:val="22"/>
          <w:szCs w:val="22"/>
        </w:rPr>
        <w:t xml:space="preserve"> in </w:t>
      </w:r>
      <w:proofErr w:type="spellStart"/>
      <w:r w:rsidR="006D69C2">
        <w:rPr>
          <w:color w:val="auto"/>
          <w:sz w:val="22"/>
          <w:szCs w:val="22"/>
        </w:rPr>
        <w:t>innovative</w:t>
      </w:r>
      <w:proofErr w:type="spellEnd"/>
      <w:r w:rsidR="006D69C2">
        <w:rPr>
          <w:color w:val="auto"/>
          <w:sz w:val="22"/>
          <w:szCs w:val="22"/>
        </w:rPr>
        <w:t xml:space="preserve"> ICT </w:t>
      </w:r>
      <w:proofErr w:type="spellStart"/>
      <w:r w:rsidR="006D69C2">
        <w:rPr>
          <w:color w:val="auto"/>
          <w:sz w:val="22"/>
          <w:szCs w:val="22"/>
        </w:rPr>
        <w:t>firms</w:t>
      </w:r>
      <w:proofErr w:type="spellEnd"/>
      <w:r w:rsidR="006D69C2">
        <w:rPr>
          <w:color w:val="auto"/>
          <w:sz w:val="22"/>
          <w:szCs w:val="22"/>
        </w:rPr>
        <w:t xml:space="preserve">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ICT 35 – 2014: </w:t>
      </w:r>
      <w:proofErr w:type="spellStart"/>
      <w:r w:rsidRPr="00810A75">
        <w:rPr>
          <w:sz w:val="22"/>
          <w:szCs w:val="22"/>
        </w:rPr>
        <w:t>Innovation</w:t>
      </w:r>
      <w:proofErr w:type="spellEnd"/>
      <w:r w:rsidRPr="00810A75">
        <w:rPr>
          <w:sz w:val="22"/>
          <w:szCs w:val="22"/>
        </w:rPr>
        <w:t xml:space="preserve"> and </w:t>
      </w:r>
      <w:proofErr w:type="spellStart"/>
      <w:r w:rsidRPr="00810A75">
        <w:rPr>
          <w:sz w:val="22"/>
          <w:szCs w:val="22"/>
        </w:rPr>
        <w:t>Entrepreneurship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Support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ICT 36 – 2015: </w:t>
      </w:r>
      <w:proofErr w:type="spellStart"/>
      <w:r w:rsidRPr="00810A75">
        <w:rPr>
          <w:sz w:val="22"/>
          <w:szCs w:val="22"/>
        </w:rPr>
        <w:t>Pre-commercial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procurement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open</w:t>
      </w:r>
      <w:proofErr w:type="spellEnd"/>
      <w:r w:rsidRPr="00810A75">
        <w:rPr>
          <w:sz w:val="22"/>
          <w:szCs w:val="22"/>
        </w:rPr>
        <w:t xml:space="preserve"> to </w:t>
      </w:r>
      <w:proofErr w:type="spellStart"/>
      <w:r w:rsidRPr="00810A75">
        <w:rPr>
          <w:sz w:val="22"/>
          <w:szCs w:val="22"/>
        </w:rPr>
        <w:t>all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areas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of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public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interest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requiring</w:t>
      </w:r>
      <w:proofErr w:type="spellEnd"/>
      <w:r w:rsidRPr="00810A75">
        <w:rPr>
          <w:sz w:val="22"/>
          <w:szCs w:val="22"/>
        </w:rPr>
        <w:t xml:space="preserve"> new ICT </w:t>
      </w:r>
      <w:proofErr w:type="spellStart"/>
      <w:r w:rsidRPr="00810A75">
        <w:rPr>
          <w:sz w:val="22"/>
          <w:szCs w:val="22"/>
        </w:rPr>
        <w:t>solutions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lastRenderedPageBreak/>
        <w:t xml:space="preserve">ICT 37 – 2014-15: </w:t>
      </w:r>
      <w:proofErr w:type="spellStart"/>
      <w:r w:rsidRPr="00810A75">
        <w:rPr>
          <w:sz w:val="22"/>
          <w:szCs w:val="22"/>
        </w:rPr>
        <w:t>Open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Disruptive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Innovation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Scheme</w:t>
      </w:r>
      <w:proofErr w:type="spellEnd"/>
      <w:r w:rsidRPr="00810A75">
        <w:rPr>
          <w:sz w:val="22"/>
          <w:szCs w:val="22"/>
        </w:rPr>
        <w:t xml:space="preserve"> (</w:t>
      </w:r>
      <w:proofErr w:type="spellStart"/>
      <w:r w:rsidRPr="00810A75">
        <w:rPr>
          <w:sz w:val="22"/>
          <w:szCs w:val="22"/>
        </w:rPr>
        <w:t>implemen</w:t>
      </w:r>
      <w:r w:rsidR="00CE1AFD" w:rsidRPr="00810A75">
        <w:rPr>
          <w:sz w:val="22"/>
          <w:szCs w:val="22"/>
        </w:rPr>
        <w:t>ted</w:t>
      </w:r>
      <w:proofErr w:type="spellEnd"/>
      <w:r w:rsidR="00CE1AFD" w:rsidRPr="00810A75">
        <w:rPr>
          <w:sz w:val="22"/>
          <w:szCs w:val="22"/>
        </w:rPr>
        <w:t xml:space="preserve"> </w:t>
      </w:r>
      <w:proofErr w:type="spellStart"/>
      <w:r w:rsidR="00CE1AFD" w:rsidRPr="00810A75">
        <w:rPr>
          <w:sz w:val="22"/>
          <w:szCs w:val="22"/>
        </w:rPr>
        <w:t>through</w:t>
      </w:r>
      <w:proofErr w:type="spellEnd"/>
      <w:r w:rsidR="00CE1AFD" w:rsidRPr="00810A75">
        <w:rPr>
          <w:sz w:val="22"/>
          <w:szCs w:val="22"/>
        </w:rPr>
        <w:t xml:space="preserve"> </w:t>
      </w:r>
      <w:proofErr w:type="spellStart"/>
      <w:r w:rsidR="00CE1AFD" w:rsidRPr="00810A75">
        <w:rPr>
          <w:sz w:val="22"/>
          <w:szCs w:val="22"/>
        </w:rPr>
        <w:t>the</w:t>
      </w:r>
      <w:proofErr w:type="spellEnd"/>
      <w:r w:rsidR="00CE1AFD" w:rsidRPr="00810A75">
        <w:rPr>
          <w:sz w:val="22"/>
          <w:szCs w:val="22"/>
        </w:rPr>
        <w:t xml:space="preserve"> SME </w:t>
      </w:r>
      <w:proofErr w:type="spellStart"/>
      <w:r w:rsidR="006D69C2" w:rsidRPr="00810A75">
        <w:rPr>
          <w:sz w:val="22"/>
          <w:szCs w:val="22"/>
        </w:rPr>
        <w:t>instrument</w:t>
      </w:r>
      <w:proofErr w:type="spellEnd"/>
      <w:r w:rsidR="006D69C2" w:rsidRPr="00810A75">
        <w:rPr>
          <w:sz w:val="22"/>
          <w:szCs w:val="22"/>
        </w:rPr>
        <w:t>)</w:t>
      </w:r>
      <w:r w:rsidRPr="00810A75">
        <w:rPr>
          <w:sz w:val="22"/>
          <w:szCs w:val="22"/>
        </w:rPr>
        <w:t xml:space="preserve"> </w:t>
      </w:r>
    </w:p>
    <w:p w:rsidR="00735116" w:rsidRDefault="00735116" w:rsidP="00735116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Fast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track</w:t>
      </w:r>
      <w:proofErr w:type="spellEnd"/>
      <w:r>
        <w:rPr>
          <w:b/>
          <w:bCs/>
          <w:color w:val="auto"/>
          <w:sz w:val="23"/>
          <w:szCs w:val="23"/>
        </w:rPr>
        <w:t xml:space="preserve"> to </w:t>
      </w:r>
      <w:proofErr w:type="spellStart"/>
      <w:r>
        <w:rPr>
          <w:b/>
          <w:bCs/>
          <w:color w:val="auto"/>
          <w:sz w:val="23"/>
          <w:szCs w:val="23"/>
        </w:rPr>
        <w:t>Innovation</w:t>
      </w:r>
      <w:proofErr w:type="spellEnd"/>
      <w:r>
        <w:rPr>
          <w:b/>
          <w:bCs/>
          <w:color w:val="auto"/>
          <w:sz w:val="23"/>
          <w:szCs w:val="23"/>
        </w:rPr>
        <w:t xml:space="preserve"> – pilot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proofErr w:type="spellStart"/>
      <w:r w:rsidRPr="00810A75">
        <w:rPr>
          <w:sz w:val="22"/>
          <w:szCs w:val="22"/>
        </w:rPr>
        <w:t>Fast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track</w:t>
      </w:r>
      <w:proofErr w:type="spellEnd"/>
      <w:r w:rsidRPr="00810A75">
        <w:rPr>
          <w:sz w:val="22"/>
          <w:szCs w:val="22"/>
        </w:rPr>
        <w:t xml:space="preserve"> to </w:t>
      </w:r>
      <w:proofErr w:type="spellStart"/>
      <w:r w:rsidRPr="00810A75">
        <w:rPr>
          <w:sz w:val="22"/>
          <w:szCs w:val="22"/>
        </w:rPr>
        <w:t>Innovation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Topic</w:t>
      </w:r>
      <w:proofErr w:type="spellEnd"/>
      <w:r w:rsidRPr="00810A75">
        <w:rPr>
          <w:sz w:val="22"/>
          <w:szCs w:val="22"/>
        </w:rPr>
        <w:t xml:space="preserve">  </w:t>
      </w:r>
    </w:p>
    <w:p w:rsidR="000562B4" w:rsidRDefault="000562B4" w:rsidP="00CE1AFD">
      <w:pPr>
        <w:pStyle w:val="Default"/>
        <w:rPr>
          <w:b/>
          <w:bCs/>
          <w:i/>
          <w:iCs/>
          <w:color w:val="auto"/>
          <w:sz w:val="23"/>
          <w:szCs w:val="23"/>
        </w:rPr>
      </w:pPr>
    </w:p>
    <w:p w:rsidR="00CE1AFD" w:rsidRDefault="00735116" w:rsidP="00CE1AFD">
      <w:pPr>
        <w:pStyle w:val="Default"/>
        <w:rPr>
          <w:b/>
          <w:bCs/>
          <w:i/>
          <w:iCs/>
          <w:color w:val="auto"/>
          <w:sz w:val="23"/>
          <w:szCs w:val="23"/>
        </w:rPr>
      </w:pPr>
      <w:proofErr w:type="spellStart"/>
      <w:r>
        <w:rPr>
          <w:b/>
          <w:bCs/>
          <w:i/>
          <w:iCs/>
          <w:color w:val="auto"/>
          <w:sz w:val="23"/>
          <w:szCs w:val="23"/>
        </w:rPr>
        <w:t>International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Cooperation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actions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</w:t>
      </w:r>
    </w:p>
    <w:p w:rsidR="00735116" w:rsidRPr="00810A75" w:rsidRDefault="00735116" w:rsidP="00CE1AFD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ICT 38 – 2015: </w:t>
      </w:r>
      <w:proofErr w:type="spellStart"/>
      <w:r w:rsidRPr="00810A75">
        <w:rPr>
          <w:sz w:val="22"/>
          <w:szCs w:val="22"/>
        </w:rPr>
        <w:t>International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partnership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building</w:t>
      </w:r>
      <w:proofErr w:type="spellEnd"/>
      <w:r w:rsidRPr="00810A75">
        <w:rPr>
          <w:sz w:val="22"/>
          <w:szCs w:val="22"/>
        </w:rPr>
        <w:t xml:space="preserve"> and </w:t>
      </w:r>
      <w:proofErr w:type="spellStart"/>
      <w:r w:rsidRPr="00810A75">
        <w:rPr>
          <w:sz w:val="22"/>
          <w:szCs w:val="22"/>
        </w:rPr>
        <w:t>support</w:t>
      </w:r>
      <w:proofErr w:type="spellEnd"/>
      <w:r w:rsidRPr="00810A75">
        <w:rPr>
          <w:sz w:val="22"/>
          <w:szCs w:val="22"/>
        </w:rPr>
        <w:t xml:space="preserve"> to </w:t>
      </w:r>
      <w:proofErr w:type="spellStart"/>
      <w:r w:rsidRPr="00810A75">
        <w:rPr>
          <w:sz w:val="22"/>
          <w:szCs w:val="22"/>
        </w:rPr>
        <w:t>dialogue</w:t>
      </w:r>
      <w:r w:rsidR="00CE1AFD" w:rsidRPr="00810A75">
        <w:rPr>
          <w:sz w:val="22"/>
          <w:szCs w:val="22"/>
        </w:rPr>
        <w:t>s</w:t>
      </w:r>
      <w:proofErr w:type="spellEnd"/>
      <w:r w:rsidR="00CE1AFD" w:rsidRPr="00810A75">
        <w:rPr>
          <w:sz w:val="22"/>
          <w:szCs w:val="22"/>
        </w:rPr>
        <w:t xml:space="preserve"> </w:t>
      </w:r>
      <w:proofErr w:type="spellStart"/>
      <w:r w:rsidR="00CE1AFD" w:rsidRPr="00810A75">
        <w:rPr>
          <w:sz w:val="22"/>
          <w:szCs w:val="22"/>
        </w:rPr>
        <w:t>with</w:t>
      </w:r>
      <w:proofErr w:type="spellEnd"/>
      <w:r w:rsidR="00CE1AFD" w:rsidRPr="00810A75">
        <w:rPr>
          <w:sz w:val="22"/>
          <w:szCs w:val="22"/>
        </w:rPr>
        <w:t xml:space="preserve"> </w:t>
      </w:r>
      <w:proofErr w:type="spellStart"/>
      <w:r w:rsidR="00CE1AFD" w:rsidRPr="00810A75">
        <w:rPr>
          <w:sz w:val="22"/>
          <w:szCs w:val="22"/>
        </w:rPr>
        <w:t>high</w:t>
      </w:r>
      <w:proofErr w:type="spellEnd"/>
      <w:r w:rsidR="00CE1AFD" w:rsidRPr="00810A75">
        <w:rPr>
          <w:sz w:val="22"/>
          <w:szCs w:val="22"/>
        </w:rPr>
        <w:t xml:space="preserve"> </w:t>
      </w:r>
      <w:proofErr w:type="spellStart"/>
      <w:r w:rsidR="00CE1AFD" w:rsidRPr="00810A75">
        <w:rPr>
          <w:sz w:val="22"/>
          <w:szCs w:val="22"/>
        </w:rPr>
        <w:t>income</w:t>
      </w:r>
      <w:proofErr w:type="spellEnd"/>
      <w:r w:rsidR="00CE1AFD" w:rsidRPr="00810A75">
        <w:rPr>
          <w:sz w:val="22"/>
          <w:szCs w:val="22"/>
        </w:rPr>
        <w:t xml:space="preserve"> </w:t>
      </w:r>
      <w:proofErr w:type="spellStart"/>
      <w:r w:rsidR="00CE1AFD" w:rsidRPr="00810A75">
        <w:rPr>
          <w:sz w:val="22"/>
          <w:szCs w:val="22"/>
        </w:rPr>
        <w:t>countries</w:t>
      </w:r>
      <w:proofErr w:type="spellEnd"/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ICT 39 – 2015: </w:t>
      </w:r>
      <w:proofErr w:type="spellStart"/>
      <w:r w:rsidRPr="00810A75">
        <w:rPr>
          <w:sz w:val="22"/>
          <w:szCs w:val="22"/>
        </w:rPr>
        <w:t>International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partnership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building</w:t>
      </w:r>
      <w:proofErr w:type="spellEnd"/>
      <w:r w:rsidRPr="00810A75">
        <w:rPr>
          <w:sz w:val="22"/>
          <w:szCs w:val="22"/>
        </w:rPr>
        <w:t xml:space="preserve"> in </w:t>
      </w:r>
      <w:proofErr w:type="spellStart"/>
      <w:r w:rsidRPr="00810A75">
        <w:rPr>
          <w:sz w:val="22"/>
          <w:szCs w:val="22"/>
        </w:rPr>
        <w:t>low</w:t>
      </w:r>
      <w:proofErr w:type="spellEnd"/>
      <w:r w:rsidRPr="00810A75">
        <w:rPr>
          <w:sz w:val="22"/>
          <w:szCs w:val="22"/>
        </w:rPr>
        <w:t xml:space="preserve"> and </w:t>
      </w:r>
      <w:proofErr w:type="spellStart"/>
      <w:r w:rsidRPr="00810A75">
        <w:rPr>
          <w:sz w:val="22"/>
          <w:szCs w:val="22"/>
        </w:rPr>
        <w:t>middle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income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countries</w:t>
      </w:r>
      <w:proofErr w:type="spellEnd"/>
      <w:r w:rsidRPr="00810A75">
        <w:rPr>
          <w:sz w:val="22"/>
          <w:szCs w:val="22"/>
        </w:rPr>
        <w:t xml:space="preserve">  </w:t>
      </w:r>
    </w:p>
    <w:p w:rsidR="00CE1AFD" w:rsidRDefault="00CE1AFD" w:rsidP="00735116">
      <w:pPr>
        <w:pStyle w:val="Default"/>
        <w:rPr>
          <w:color w:val="auto"/>
          <w:sz w:val="22"/>
          <w:szCs w:val="22"/>
        </w:rPr>
      </w:pPr>
    </w:p>
    <w:p w:rsidR="00735116" w:rsidRDefault="00735116" w:rsidP="00735116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EU-Brazil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Research</w:t>
      </w:r>
      <w:proofErr w:type="spellEnd"/>
      <w:r>
        <w:rPr>
          <w:b/>
          <w:bCs/>
          <w:color w:val="auto"/>
          <w:sz w:val="23"/>
          <w:szCs w:val="23"/>
        </w:rPr>
        <w:t xml:space="preserve"> and </w:t>
      </w:r>
      <w:proofErr w:type="spellStart"/>
      <w:r>
        <w:rPr>
          <w:b/>
          <w:bCs/>
          <w:color w:val="auto"/>
          <w:sz w:val="23"/>
          <w:szCs w:val="23"/>
        </w:rPr>
        <w:t>Development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Cooperation</w:t>
      </w:r>
      <w:proofErr w:type="spellEnd"/>
      <w:r>
        <w:rPr>
          <w:b/>
          <w:bCs/>
          <w:color w:val="auto"/>
          <w:sz w:val="23"/>
          <w:szCs w:val="23"/>
        </w:rPr>
        <w:t xml:space="preserve"> in </w:t>
      </w:r>
      <w:proofErr w:type="spellStart"/>
      <w:r w:rsidR="00CE1AFD">
        <w:rPr>
          <w:b/>
          <w:bCs/>
          <w:color w:val="auto"/>
          <w:sz w:val="23"/>
          <w:szCs w:val="23"/>
        </w:rPr>
        <w:t>Advanced</w:t>
      </w:r>
      <w:proofErr w:type="spellEnd"/>
      <w:r w:rsidR="00CE1AFD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CE1AFD">
        <w:rPr>
          <w:b/>
          <w:bCs/>
          <w:color w:val="auto"/>
          <w:sz w:val="23"/>
          <w:szCs w:val="23"/>
        </w:rPr>
        <w:t>Cyber</w:t>
      </w:r>
      <w:proofErr w:type="spellEnd"/>
      <w:r w:rsidR="00CE1AFD">
        <w:rPr>
          <w:b/>
          <w:bCs/>
          <w:color w:val="auto"/>
          <w:sz w:val="23"/>
          <w:szCs w:val="23"/>
        </w:rPr>
        <w:t xml:space="preserve"> </w:t>
      </w:r>
      <w:proofErr w:type="spellStart"/>
      <w:r w:rsidR="00CE1AFD">
        <w:rPr>
          <w:b/>
          <w:bCs/>
          <w:color w:val="auto"/>
          <w:sz w:val="23"/>
          <w:szCs w:val="23"/>
        </w:rPr>
        <w:t>Infrastructure</w:t>
      </w:r>
      <w:proofErr w:type="spellEnd"/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EUB 1 – 2015: </w:t>
      </w:r>
      <w:proofErr w:type="spellStart"/>
      <w:r w:rsidRPr="00810A75">
        <w:rPr>
          <w:sz w:val="22"/>
          <w:szCs w:val="22"/>
        </w:rPr>
        <w:t>Cloud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Computing</w:t>
      </w:r>
      <w:proofErr w:type="spellEnd"/>
      <w:r w:rsidRPr="00810A75">
        <w:rPr>
          <w:sz w:val="22"/>
          <w:szCs w:val="22"/>
        </w:rPr>
        <w:t xml:space="preserve">, </w:t>
      </w:r>
      <w:proofErr w:type="spellStart"/>
      <w:r w:rsidRPr="00810A75">
        <w:rPr>
          <w:sz w:val="22"/>
          <w:szCs w:val="22"/>
        </w:rPr>
        <w:t>including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security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aspects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EUB 2 – 2015: </w:t>
      </w:r>
      <w:proofErr w:type="spellStart"/>
      <w:r w:rsidRPr="00810A75">
        <w:rPr>
          <w:sz w:val="22"/>
          <w:szCs w:val="22"/>
        </w:rPr>
        <w:t>High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Performance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Computing</w:t>
      </w:r>
      <w:proofErr w:type="spellEnd"/>
      <w:r w:rsidRPr="00810A75">
        <w:rPr>
          <w:sz w:val="22"/>
          <w:szCs w:val="22"/>
        </w:rPr>
        <w:t xml:space="preserve"> (HPC)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EUB 3 – 2015: </w:t>
      </w:r>
      <w:proofErr w:type="spellStart"/>
      <w:r w:rsidRPr="00810A75">
        <w:rPr>
          <w:sz w:val="22"/>
          <w:szCs w:val="22"/>
        </w:rPr>
        <w:t>Experimental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Platforms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Default="00735116" w:rsidP="0073511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735116" w:rsidRDefault="00735116" w:rsidP="00735116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EU-Japan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Research</w:t>
      </w:r>
      <w:proofErr w:type="spellEnd"/>
      <w:r>
        <w:rPr>
          <w:b/>
          <w:bCs/>
          <w:color w:val="auto"/>
          <w:sz w:val="23"/>
          <w:szCs w:val="23"/>
        </w:rPr>
        <w:t xml:space="preserve"> and </w:t>
      </w:r>
      <w:proofErr w:type="spellStart"/>
      <w:r>
        <w:rPr>
          <w:b/>
          <w:bCs/>
          <w:color w:val="auto"/>
          <w:sz w:val="23"/>
          <w:szCs w:val="23"/>
        </w:rPr>
        <w:t>Development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Cooperation</w:t>
      </w:r>
      <w:proofErr w:type="spellEnd"/>
      <w:r>
        <w:rPr>
          <w:b/>
          <w:bCs/>
          <w:color w:val="auto"/>
          <w:sz w:val="23"/>
          <w:szCs w:val="23"/>
        </w:rPr>
        <w:t xml:space="preserve"> in </w:t>
      </w:r>
      <w:proofErr w:type="spellStart"/>
      <w:r>
        <w:rPr>
          <w:b/>
          <w:bCs/>
          <w:color w:val="auto"/>
          <w:sz w:val="23"/>
          <w:szCs w:val="23"/>
        </w:rPr>
        <w:t>Net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Futures</w:t>
      </w:r>
      <w:proofErr w:type="spellEnd"/>
      <w:r>
        <w:rPr>
          <w:b/>
          <w:bCs/>
          <w:color w:val="auto"/>
          <w:sz w:val="23"/>
          <w:szCs w:val="23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EUJ 1 – 2014: Technologies </w:t>
      </w:r>
      <w:proofErr w:type="spellStart"/>
      <w:r w:rsidRPr="00810A75">
        <w:rPr>
          <w:sz w:val="22"/>
          <w:szCs w:val="22"/>
        </w:rPr>
        <w:t>combining</w:t>
      </w:r>
      <w:proofErr w:type="spellEnd"/>
      <w:r w:rsidRPr="00810A75">
        <w:rPr>
          <w:sz w:val="22"/>
          <w:szCs w:val="22"/>
        </w:rPr>
        <w:t xml:space="preserve"> big </w:t>
      </w:r>
      <w:proofErr w:type="spellStart"/>
      <w:r w:rsidRPr="00810A75">
        <w:rPr>
          <w:sz w:val="22"/>
          <w:szCs w:val="22"/>
        </w:rPr>
        <w:t>data</w:t>
      </w:r>
      <w:proofErr w:type="spellEnd"/>
      <w:r w:rsidRPr="00810A75">
        <w:rPr>
          <w:sz w:val="22"/>
          <w:szCs w:val="22"/>
        </w:rPr>
        <w:t xml:space="preserve">, internet </w:t>
      </w:r>
      <w:proofErr w:type="spellStart"/>
      <w:r w:rsidRPr="00810A75">
        <w:rPr>
          <w:sz w:val="22"/>
          <w:szCs w:val="22"/>
        </w:rPr>
        <w:t>of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things</w:t>
      </w:r>
      <w:proofErr w:type="spellEnd"/>
      <w:r w:rsidRPr="00810A75">
        <w:rPr>
          <w:sz w:val="22"/>
          <w:szCs w:val="22"/>
        </w:rPr>
        <w:t xml:space="preserve"> in </w:t>
      </w:r>
      <w:proofErr w:type="spellStart"/>
      <w:r w:rsidRPr="00810A75">
        <w:rPr>
          <w:sz w:val="22"/>
          <w:szCs w:val="22"/>
        </w:rPr>
        <w:t>the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cloud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EUJ 2 – 2014: </w:t>
      </w:r>
      <w:proofErr w:type="spellStart"/>
      <w:r w:rsidRPr="00810A75">
        <w:rPr>
          <w:sz w:val="22"/>
          <w:szCs w:val="22"/>
        </w:rPr>
        <w:t>Optical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communications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Pr="00810A75" w:rsidRDefault="00735116" w:rsidP="00735116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EUJ 3 – 2014: Access </w:t>
      </w:r>
      <w:proofErr w:type="spellStart"/>
      <w:r w:rsidRPr="00810A75">
        <w:rPr>
          <w:sz w:val="22"/>
          <w:szCs w:val="22"/>
        </w:rPr>
        <w:t>networks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for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densely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located</w:t>
      </w:r>
      <w:proofErr w:type="spellEnd"/>
      <w:r w:rsidRPr="00810A75">
        <w:rPr>
          <w:sz w:val="22"/>
          <w:szCs w:val="22"/>
        </w:rPr>
        <w:t xml:space="preserve"> </w:t>
      </w:r>
      <w:proofErr w:type="spellStart"/>
      <w:r w:rsidRPr="00810A75">
        <w:rPr>
          <w:sz w:val="22"/>
          <w:szCs w:val="22"/>
        </w:rPr>
        <w:t>users</w:t>
      </w:r>
      <w:proofErr w:type="spellEnd"/>
      <w:r w:rsidRPr="00810A75">
        <w:rPr>
          <w:sz w:val="22"/>
          <w:szCs w:val="22"/>
        </w:rPr>
        <w:t xml:space="preserve">  </w:t>
      </w:r>
    </w:p>
    <w:p w:rsidR="00735116" w:rsidRDefault="00735116" w:rsidP="00810A75">
      <w:pPr>
        <w:pStyle w:val="Default"/>
        <w:rPr>
          <w:sz w:val="22"/>
          <w:szCs w:val="22"/>
        </w:rPr>
      </w:pPr>
      <w:r w:rsidRPr="00810A75">
        <w:rPr>
          <w:sz w:val="22"/>
          <w:szCs w:val="22"/>
        </w:rPr>
        <w:t xml:space="preserve">EUJ 4 – 2014: </w:t>
      </w:r>
      <w:proofErr w:type="spellStart"/>
      <w:r w:rsidRPr="00810A75">
        <w:rPr>
          <w:sz w:val="22"/>
          <w:szCs w:val="22"/>
        </w:rPr>
        <w:t>Experimentation</w:t>
      </w:r>
      <w:proofErr w:type="spellEnd"/>
      <w:r w:rsidRPr="00810A75">
        <w:rPr>
          <w:sz w:val="22"/>
          <w:szCs w:val="22"/>
        </w:rPr>
        <w:t xml:space="preserve"> and </w:t>
      </w:r>
      <w:proofErr w:type="spellStart"/>
      <w:r w:rsidRPr="00810A75">
        <w:rPr>
          <w:sz w:val="22"/>
          <w:szCs w:val="22"/>
        </w:rPr>
        <w:t>development</w:t>
      </w:r>
      <w:proofErr w:type="spellEnd"/>
      <w:r w:rsidRPr="00810A75">
        <w:rPr>
          <w:sz w:val="22"/>
          <w:szCs w:val="22"/>
        </w:rPr>
        <w:t xml:space="preserve"> on </w:t>
      </w:r>
      <w:proofErr w:type="spellStart"/>
      <w:r w:rsidRPr="00810A75">
        <w:rPr>
          <w:sz w:val="22"/>
          <w:szCs w:val="22"/>
        </w:rPr>
        <w:t>federated</w:t>
      </w:r>
      <w:proofErr w:type="spellEnd"/>
      <w:r w:rsidRPr="00810A75">
        <w:rPr>
          <w:sz w:val="22"/>
          <w:szCs w:val="22"/>
        </w:rPr>
        <w:t xml:space="preserve"> Japan – EU </w:t>
      </w:r>
      <w:proofErr w:type="spellStart"/>
      <w:r w:rsidRPr="00810A75">
        <w:rPr>
          <w:sz w:val="22"/>
          <w:szCs w:val="22"/>
        </w:rPr>
        <w:t>testbeds</w:t>
      </w:r>
      <w:proofErr w:type="spellEnd"/>
      <w:r w:rsidRPr="00810A75">
        <w:rPr>
          <w:sz w:val="22"/>
          <w:szCs w:val="22"/>
        </w:rPr>
        <w:t xml:space="preserve"> </w:t>
      </w:r>
    </w:p>
    <w:p w:rsidR="00BF1330" w:rsidRDefault="00BF1330" w:rsidP="00810A75">
      <w:pPr>
        <w:pStyle w:val="Default"/>
        <w:rPr>
          <w:sz w:val="22"/>
          <w:szCs w:val="22"/>
        </w:rPr>
      </w:pPr>
    </w:p>
    <w:p w:rsidR="00BF1330" w:rsidRPr="00BF1330" w:rsidRDefault="00BF1330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BF1330"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  <w:lang w:val="sk-SK"/>
        </w:rPr>
        <w:t>H2020-ICT-2014</w:t>
      </w:r>
      <w:r w:rsidRPr="00BF1330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</w:t>
      </w:r>
    </w:p>
    <w:p w:rsidR="00DD5347" w:rsidRDefault="00DD5347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</w:pPr>
    </w:p>
    <w:p w:rsidR="00BF1330" w:rsidRPr="00BF1330" w:rsidRDefault="00BF1330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Publication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 xml:space="preserve">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date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: 11 December 2013</w:t>
      </w:r>
    </w:p>
    <w:p w:rsidR="00BF1330" w:rsidRPr="00BF1330" w:rsidRDefault="00BF1330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Opening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: 11 December 2013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except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topic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ICT37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that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opens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on 01/03/2014</w:t>
      </w:r>
      <w:r w:rsidRPr="00BF1330">
        <w:rPr>
          <w:rFonts w:ascii="Calibri" w:hAnsi="Calibri" w:cs="Calibri"/>
          <w:color w:val="000000"/>
          <w:sz w:val="14"/>
          <w:szCs w:val="14"/>
          <w:lang w:val="sk-SK"/>
        </w:rPr>
        <w:t xml:space="preserve">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for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phase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1 and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phase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2 and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topic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ICT14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that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opens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on 15 </w:t>
      </w:r>
      <w:proofErr w:type="spellStart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>July</w:t>
      </w:r>
      <w:proofErr w:type="spellEnd"/>
      <w:r w:rsidRPr="00BF133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2014. </w:t>
      </w:r>
    </w:p>
    <w:p w:rsidR="00DD5347" w:rsidRDefault="00DD5347" w:rsidP="00BF1330">
      <w:pPr>
        <w:pStyle w:val="Default"/>
        <w:rPr>
          <w:sz w:val="23"/>
          <w:szCs w:val="23"/>
        </w:rPr>
      </w:pPr>
    </w:p>
    <w:p w:rsidR="00BF1330" w:rsidRDefault="00DD5347" w:rsidP="00BF1330">
      <w:pPr>
        <w:pStyle w:val="Default"/>
        <w:rPr>
          <w:sz w:val="23"/>
          <w:szCs w:val="23"/>
        </w:rPr>
      </w:pPr>
      <w:proofErr w:type="spellStart"/>
      <w:r w:rsidRPr="00DD5347">
        <w:rPr>
          <w:sz w:val="23"/>
          <w:szCs w:val="23"/>
          <w:u w:val="single"/>
        </w:rPr>
        <w:t>Deadline</w:t>
      </w:r>
      <w:proofErr w:type="spellEnd"/>
      <w:r>
        <w:rPr>
          <w:sz w:val="23"/>
          <w:szCs w:val="23"/>
        </w:rPr>
        <w:t>(s)</w:t>
      </w:r>
      <w:r w:rsidR="00BF1330" w:rsidRPr="00BF1330">
        <w:rPr>
          <w:sz w:val="23"/>
          <w:szCs w:val="23"/>
        </w:rPr>
        <w:t xml:space="preserve">: </w:t>
      </w:r>
      <w:proofErr w:type="spellStart"/>
      <w:r w:rsidR="00BF1330" w:rsidRPr="00BF1330">
        <w:rPr>
          <w:sz w:val="23"/>
          <w:szCs w:val="23"/>
        </w:rPr>
        <w:t>at</w:t>
      </w:r>
      <w:proofErr w:type="spellEnd"/>
      <w:r w:rsidR="00BF1330" w:rsidRPr="00BF1330">
        <w:rPr>
          <w:sz w:val="23"/>
          <w:szCs w:val="23"/>
        </w:rPr>
        <w:t xml:space="preserve"> 17.00.00 </w:t>
      </w:r>
      <w:proofErr w:type="spellStart"/>
      <w:r w:rsidR="00BF1330" w:rsidRPr="00BF1330">
        <w:rPr>
          <w:sz w:val="23"/>
          <w:szCs w:val="23"/>
        </w:rPr>
        <w:t>Brussels</w:t>
      </w:r>
      <w:proofErr w:type="spellEnd"/>
      <w:r w:rsidR="00BF1330" w:rsidRPr="00BF1330">
        <w:rPr>
          <w:sz w:val="23"/>
          <w:szCs w:val="23"/>
        </w:rPr>
        <w:t xml:space="preserve"> </w:t>
      </w:r>
      <w:proofErr w:type="spellStart"/>
      <w:r w:rsidR="00BF1330" w:rsidRPr="00BF1330">
        <w:rPr>
          <w:sz w:val="23"/>
          <w:szCs w:val="23"/>
        </w:rPr>
        <w:t>time</w:t>
      </w:r>
      <w:proofErr w:type="spellEnd"/>
      <w:r w:rsidR="00BF1330" w:rsidRPr="00BF1330">
        <w:rPr>
          <w:sz w:val="23"/>
          <w:szCs w:val="23"/>
        </w:rPr>
        <w:t xml:space="preserve"> on </w:t>
      </w:r>
      <w:proofErr w:type="spellStart"/>
      <w:r w:rsidR="00BF1330" w:rsidRPr="00BF1330">
        <w:rPr>
          <w:sz w:val="23"/>
          <w:szCs w:val="23"/>
        </w:rPr>
        <w:t>the</w:t>
      </w:r>
      <w:proofErr w:type="spellEnd"/>
      <w:r w:rsidR="00BF1330" w:rsidRPr="00BF1330">
        <w:rPr>
          <w:sz w:val="23"/>
          <w:szCs w:val="23"/>
        </w:rPr>
        <w:t xml:space="preserve"> </w:t>
      </w:r>
      <w:proofErr w:type="spellStart"/>
      <w:r w:rsidR="00BF1330" w:rsidRPr="00BF1330">
        <w:rPr>
          <w:sz w:val="23"/>
          <w:szCs w:val="23"/>
        </w:rPr>
        <w:t>following</w:t>
      </w:r>
      <w:proofErr w:type="spellEnd"/>
      <w:r w:rsidR="00BF1330" w:rsidRPr="00BF1330">
        <w:rPr>
          <w:sz w:val="23"/>
          <w:szCs w:val="23"/>
        </w:rPr>
        <w:t xml:space="preserve"> </w:t>
      </w:r>
      <w:proofErr w:type="spellStart"/>
      <w:r w:rsidR="00BF1330" w:rsidRPr="00BF1330">
        <w:rPr>
          <w:sz w:val="23"/>
          <w:szCs w:val="23"/>
        </w:rPr>
        <w:t>dates</w:t>
      </w:r>
      <w:proofErr w:type="spellEnd"/>
      <w:r w:rsidR="00BF1330">
        <w:rPr>
          <w:sz w:val="23"/>
          <w:szCs w:val="23"/>
        </w:rPr>
        <w:t>:</w:t>
      </w:r>
    </w:p>
    <w:p w:rsidR="00BF1330" w:rsidRPr="00BF1330" w:rsidRDefault="00BF1330" w:rsidP="00BF1330">
      <w:pPr>
        <w:pStyle w:val="Default"/>
        <w:rPr>
          <w:sz w:val="22"/>
          <w:szCs w:val="22"/>
        </w:rPr>
      </w:pPr>
      <w:proofErr w:type="spellStart"/>
      <w:r w:rsidRPr="00BF1330">
        <w:t>All</w:t>
      </w:r>
      <w:proofErr w:type="spellEnd"/>
      <w:r w:rsidRPr="00BF1330">
        <w:t xml:space="preserve"> </w:t>
      </w:r>
      <w:proofErr w:type="spellStart"/>
      <w:r w:rsidRPr="00BF1330">
        <w:t>Topics</w:t>
      </w:r>
      <w:proofErr w:type="spellEnd"/>
      <w:r w:rsidRPr="00BF1330">
        <w:t xml:space="preserve"> </w:t>
      </w:r>
      <w:proofErr w:type="spellStart"/>
      <w:r w:rsidRPr="00BF1330">
        <w:t>except</w:t>
      </w:r>
      <w:proofErr w:type="spellEnd"/>
      <w:r w:rsidRPr="00BF1330">
        <w:t xml:space="preserve"> ICT14.a, ICT14.b, ICT14.c, ICT37 </w:t>
      </w:r>
      <w:r>
        <w:t xml:space="preserve">- </w:t>
      </w:r>
      <w:r w:rsidRPr="00BF1330">
        <w:rPr>
          <w:sz w:val="22"/>
          <w:szCs w:val="22"/>
        </w:rPr>
        <w:t xml:space="preserve">23 </w:t>
      </w:r>
      <w:proofErr w:type="spellStart"/>
      <w:r w:rsidRPr="00BF1330">
        <w:rPr>
          <w:sz w:val="22"/>
          <w:szCs w:val="22"/>
        </w:rPr>
        <w:t>April</w:t>
      </w:r>
      <w:proofErr w:type="spellEnd"/>
      <w:r w:rsidRPr="00BF1330">
        <w:rPr>
          <w:sz w:val="22"/>
          <w:szCs w:val="22"/>
        </w:rPr>
        <w:t xml:space="preserve"> 2014 </w:t>
      </w:r>
    </w:p>
    <w:p w:rsidR="00BF1330" w:rsidRPr="00BF1330" w:rsidRDefault="00BF1330" w:rsidP="00BF1330">
      <w:pPr>
        <w:pStyle w:val="Default"/>
        <w:rPr>
          <w:sz w:val="22"/>
          <w:szCs w:val="22"/>
        </w:rPr>
      </w:pPr>
      <w:r w:rsidRPr="00BF1330">
        <w:t xml:space="preserve">ICT14a, ICT14.b, ICT14.c </w:t>
      </w:r>
      <w:r>
        <w:t xml:space="preserve">- </w:t>
      </w:r>
      <w:r w:rsidRPr="00BF1330">
        <w:rPr>
          <w:sz w:val="22"/>
          <w:szCs w:val="22"/>
        </w:rPr>
        <w:t xml:space="preserve">25 November 2014 </w:t>
      </w:r>
    </w:p>
    <w:p w:rsidR="00BF1330" w:rsidRDefault="00BF1330" w:rsidP="00BF1330">
      <w:pPr>
        <w:pStyle w:val="Default"/>
        <w:rPr>
          <w:sz w:val="23"/>
          <w:szCs w:val="23"/>
        </w:rPr>
      </w:pPr>
      <w:r w:rsidRPr="00BF1330">
        <w:t xml:space="preserve">ICT37 [SME </w:t>
      </w:r>
      <w:proofErr w:type="spellStart"/>
      <w:r w:rsidRPr="00BF1330">
        <w:t>instrument</w:t>
      </w:r>
      <w:proofErr w:type="spellEnd"/>
      <w:r w:rsidRPr="00BF1330">
        <w:t xml:space="preserve">] </w:t>
      </w:r>
      <w:proofErr w:type="spellStart"/>
      <w:r w:rsidRPr="00BF1330">
        <w:t>Open</w:t>
      </w:r>
      <w:proofErr w:type="spellEnd"/>
      <w:r w:rsidRPr="00BF1330">
        <w:t xml:space="preserve"> </w:t>
      </w:r>
      <w:proofErr w:type="spellStart"/>
      <w:r w:rsidRPr="00BF1330">
        <w:t>call</w:t>
      </w:r>
      <w:proofErr w:type="spellEnd"/>
      <w:r w:rsidRPr="00BF1330">
        <w:t xml:space="preserve"> </w:t>
      </w:r>
      <w:proofErr w:type="spellStart"/>
      <w:r w:rsidRPr="00BF1330">
        <w:t>cut-off</w:t>
      </w:r>
      <w:proofErr w:type="spellEnd"/>
      <w:r w:rsidRPr="00BF1330">
        <w:t xml:space="preserve"> </w:t>
      </w:r>
      <w:proofErr w:type="spellStart"/>
      <w:r w:rsidRPr="00BF1330">
        <w:t>dates</w:t>
      </w:r>
      <w:proofErr w:type="spellEnd"/>
      <w:r w:rsidRPr="00BF1330">
        <w:t xml:space="preserve"> </w:t>
      </w:r>
      <w:r>
        <w:t xml:space="preserve">- </w:t>
      </w:r>
      <w:proofErr w:type="spellStart"/>
      <w:r w:rsidRPr="00BF1330">
        <w:rPr>
          <w:sz w:val="23"/>
          <w:szCs w:val="23"/>
        </w:rPr>
        <w:t>Phase</w:t>
      </w:r>
      <w:proofErr w:type="spellEnd"/>
      <w:r w:rsidRPr="00BF1330">
        <w:rPr>
          <w:sz w:val="23"/>
          <w:szCs w:val="23"/>
        </w:rPr>
        <w:t xml:space="preserve"> 1 </w:t>
      </w:r>
      <w:r>
        <w:rPr>
          <w:sz w:val="23"/>
          <w:szCs w:val="23"/>
        </w:rPr>
        <w:t xml:space="preserve">= 18/06/2014, 24/09/2014, 17/12/2014, [18/03/2015, </w:t>
      </w:r>
      <w:r w:rsidRPr="00BF1330">
        <w:rPr>
          <w:sz w:val="23"/>
          <w:szCs w:val="23"/>
        </w:rPr>
        <w:t>17/06/2015</w:t>
      </w:r>
      <w:r>
        <w:rPr>
          <w:sz w:val="23"/>
          <w:szCs w:val="23"/>
        </w:rPr>
        <w:t xml:space="preserve">, 17/09/2015, </w:t>
      </w:r>
      <w:r w:rsidRPr="00BF1330">
        <w:rPr>
          <w:sz w:val="23"/>
          <w:szCs w:val="23"/>
        </w:rPr>
        <w:t>16/12/2015]</w:t>
      </w:r>
      <w:r>
        <w:rPr>
          <w:sz w:val="23"/>
          <w:szCs w:val="23"/>
        </w:rPr>
        <w:t>,</w:t>
      </w:r>
      <w:r w:rsidRPr="00BF1330">
        <w:rPr>
          <w:sz w:val="23"/>
          <w:szCs w:val="23"/>
        </w:rPr>
        <w:t xml:space="preserve"> </w:t>
      </w:r>
      <w:proofErr w:type="spellStart"/>
      <w:r w:rsidRPr="00BF1330">
        <w:rPr>
          <w:sz w:val="23"/>
          <w:szCs w:val="23"/>
        </w:rPr>
        <w:t>Phase</w:t>
      </w:r>
      <w:proofErr w:type="spellEnd"/>
      <w:r w:rsidRPr="00BF1330">
        <w:rPr>
          <w:sz w:val="23"/>
          <w:szCs w:val="23"/>
        </w:rPr>
        <w:t xml:space="preserve"> 2 </w:t>
      </w:r>
      <w:r>
        <w:rPr>
          <w:sz w:val="23"/>
          <w:szCs w:val="23"/>
        </w:rPr>
        <w:t xml:space="preserve">= 09/10/2014, 17/12/2014, [18/03/2015, 17/06/2015, 17/09/2015, </w:t>
      </w:r>
      <w:r w:rsidRPr="00BF1330">
        <w:rPr>
          <w:sz w:val="23"/>
          <w:szCs w:val="23"/>
        </w:rPr>
        <w:t xml:space="preserve">16/12/2015] </w:t>
      </w:r>
    </w:p>
    <w:p w:rsidR="00CF0C52" w:rsidRDefault="00CF0C52" w:rsidP="00BF1330">
      <w:pPr>
        <w:pStyle w:val="Default"/>
        <w:rPr>
          <w:sz w:val="23"/>
          <w:szCs w:val="23"/>
        </w:rPr>
      </w:pPr>
    </w:p>
    <w:p w:rsidR="00CF0C52" w:rsidRDefault="00CF0C52" w:rsidP="00CF0C5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Vyhlásené témy: </w:t>
      </w:r>
      <w:proofErr w:type="spellStart"/>
      <w:r w:rsidRPr="00C91B26">
        <w:rPr>
          <w:sz w:val="23"/>
          <w:szCs w:val="23"/>
        </w:rPr>
        <w:t>All</w:t>
      </w:r>
      <w:proofErr w:type="spellEnd"/>
      <w:r w:rsidRPr="00C91B26">
        <w:rPr>
          <w:b/>
          <w:bCs/>
          <w:i/>
          <w:iCs/>
          <w:sz w:val="23"/>
          <w:szCs w:val="23"/>
        </w:rPr>
        <w:t xml:space="preserve"> </w:t>
      </w:r>
      <w:r w:rsidRPr="00C91B26">
        <w:rPr>
          <w:sz w:val="23"/>
          <w:szCs w:val="23"/>
        </w:rPr>
        <w:t xml:space="preserve">single </w:t>
      </w:r>
      <w:proofErr w:type="spellStart"/>
      <w:r w:rsidRPr="00C91B26">
        <w:rPr>
          <w:sz w:val="23"/>
          <w:szCs w:val="23"/>
        </w:rPr>
        <w:t>stage</w:t>
      </w:r>
      <w:proofErr w:type="spellEnd"/>
      <w:r w:rsidRPr="00C91B26">
        <w:rPr>
          <w:b/>
          <w:bCs/>
          <w:i/>
          <w:iCs/>
          <w:sz w:val="23"/>
          <w:szCs w:val="23"/>
        </w:rPr>
        <w:t xml:space="preserve"> </w:t>
      </w:r>
    </w:p>
    <w:p w:rsidR="00CF0C52" w:rsidRPr="00CF0C52" w:rsidRDefault="00CF0C52" w:rsidP="00BF1330">
      <w:pPr>
        <w:pStyle w:val="Default"/>
        <w:rPr>
          <w:sz w:val="23"/>
          <w:szCs w:val="23"/>
        </w:rPr>
      </w:pP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 xml:space="preserve">1,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 xml:space="preserve">2,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 xml:space="preserve">3,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>5</w:t>
      </w:r>
      <w:r w:rsidRPr="00C91B26">
        <w:rPr>
          <w:sz w:val="23"/>
          <w:szCs w:val="23"/>
        </w:rPr>
        <w:t xml:space="preserve">, ICT </w:t>
      </w:r>
      <w:r>
        <w:rPr>
          <w:sz w:val="23"/>
          <w:szCs w:val="23"/>
        </w:rPr>
        <w:t xml:space="preserve">6,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>7</w:t>
      </w:r>
      <w:r w:rsidRPr="00C91B2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ICT 9, </w:t>
      </w:r>
      <w:r w:rsidRPr="00C91B26">
        <w:rPr>
          <w:sz w:val="23"/>
          <w:szCs w:val="23"/>
        </w:rPr>
        <w:t>ICT</w:t>
      </w:r>
      <w:r>
        <w:rPr>
          <w:sz w:val="23"/>
          <w:szCs w:val="23"/>
        </w:rPr>
        <w:t xml:space="preserve">11, ICT 13,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 xml:space="preserve">14,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>15, ICT 17, ICT 18,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ICT 21,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ICT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22,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>23, ICT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26, ICT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29, ICT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31, ICT 32,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ICT 33, </w:t>
      </w:r>
      <w:r w:rsidRPr="00C91B26">
        <w:rPr>
          <w:sz w:val="23"/>
          <w:szCs w:val="23"/>
        </w:rPr>
        <w:t xml:space="preserve">ICT </w:t>
      </w:r>
      <w:r>
        <w:rPr>
          <w:sz w:val="23"/>
          <w:szCs w:val="23"/>
        </w:rPr>
        <w:t>35, ICT</w:t>
      </w:r>
      <w:r w:rsidRPr="00CF0C52">
        <w:rPr>
          <w:sz w:val="23"/>
          <w:szCs w:val="23"/>
        </w:rPr>
        <w:t xml:space="preserve"> </w:t>
      </w:r>
      <w:r>
        <w:rPr>
          <w:sz w:val="23"/>
          <w:szCs w:val="23"/>
        </w:rPr>
        <w:t>37</w:t>
      </w:r>
    </w:p>
    <w:p w:rsidR="00BF1330" w:rsidRPr="00BF1330" w:rsidRDefault="00BF1330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DD5347" w:rsidRDefault="00DD5347" w:rsidP="00DD5347">
      <w:pPr>
        <w:pStyle w:val="Default"/>
        <w:rPr>
          <w:sz w:val="23"/>
          <w:szCs w:val="23"/>
        </w:rPr>
      </w:pPr>
      <w:proofErr w:type="spellStart"/>
      <w:r w:rsidRPr="00DD5347">
        <w:rPr>
          <w:sz w:val="23"/>
          <w:szCs w:val="23"/>
          <w:u w:val="single"/>
        </w:rPr>
        <w:t>Eligibility</w:t>
      </w:r>
      <w:proofErr w:type="spellEnd"/>
      <w:r w:rsidRPr="00DD5347">
        <w:rPr>
          <w:sz w:val="23"/>
          <w:szCs w:val="23"/>
          <w:u w:val="single"/>
        </w:rPr>
        <w:t xml:space="preserve"> and </w:t>
      </w:r>
      <w:proofErr w:type="spellStart"/>
      <w:r w:rsidRPr="00DD5347">
        <w:rPr>
          <w:sz w:val="23"/>
          <w:szCs w:val="23"/>
          <w:u w:val="single"/>
        </w:rPr>
        <w:t>admissibility</w:t>
      </w:r>
      <w:proofErr w:type="spellEnd"/>
      <w:r w:rsidRPr="00DD5347">
        <w:rPr>
          <w:sz w:val="23"/>
          <w:szCs w:val="23"/>
          <w:u w:val="single"/>
        </w:rPr>
        <w:t xml:space="preserve"> </w:t>
      </w:r>
      <w:proofErr w:type="spellStart"/>
      <w:r w:rsidRPr="00DD5347">
        <w:rPr>
          <w:sz w:val="23"/>
          <w:szCs w:val="23"/>
          <w:u w:val="single"/>
        </w:rPr>
        <w:t>conditions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conditions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parts</w:t>
      </w:r>
      <w:proofErr w:type="spellEnd"/>
      <w:r>
        <w:rPr>
          <w:sz w:val="23"/>
          <w:szCs w:val="23"/>
        </w:rPr>
        <w:t xml:space="preserve"> B and C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following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exceptions</w:t>
      </w:r>
      <w:proofErr w:type="spellEnd"/>
      <w:r>
        <w:rPr>
          <w:sz w:val="23"/>
          <w:szCs w:val="23"/>
        </w:rPr>
        <w:t xml:space="preserve">: </w:t>
      </w:r>
      <w:r w:rsidRPr="00DD5347">
        <w:rPr>
          <w:sz w:val="23"/>
          <w:szCs w:val="23"/>
        </w:rPr>
        <w:t xml:space="preserve">ICT37 [SME </w:t>
      </w:r>
      <w:proofErr w:type="spellStart"/>
      <w:r w:rsidRPr="00DD5347">
        <w:rPr>
          <w:sz w:val="23"/>
          <w:szCs w:val="23"/>
        </w:rPr>
        <w:t>instrument</w:t>
      </w:r>
      <w:proofErr w:type="spellEnd"/>
      <w:r w:rsidRPr="00DD5347">
        <w:rPr>
          <w:sz w:val="23"/>
          <w:szCs w:val="23"/>
        </w:rPr>
        <w:t xml:space="preserve">] </w:t>
      </w:r>
      <w:r>
        <w:rPr>
          <w:sz w:val="23"/>
          <w:szCs w:val="23"/>
        </w:rPr>
        <w:t xml:space="preserve">= </w:t>
      </w:r>
      <w:proofErr w:type="spellStart"/>
      <w:r w:rsidRPr="00DD5347">
        <w:rPr>
          <w:sz w:val="23"/>
          <w:szCs w:val="23"/>
        </w:rPr>
        <w:t>Proposals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for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phase</w:t>
      </w:r>
      <w:proofErr w:type="spellEnd"/>
      <w:r w:rsidRPr="00DD5347">
        <w:rPr>
          <w:sz w:val="23"/>
          <w:szCs w:val="23"/>
        </w:rPr>
        <w:t xml:space="preserve"> 1 are </w:t>
      </w:r>
      <w:proofErr w:type="spellStart"/>
      <w:r w:rsidRPr="00DD5347">
        <w:rPr>
          <w:sz w:val="23"/>
          <w:szCs w:val="23"/>
        </w:rPr>
        <w:t>not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required</w:t>
      </w:r>
      <w:proofErr w:type="spellEnd"/>
      <w:r w:rsidRPr="00DD5347">
        <w:rPr>
          <w:sz w:val="23"/>
          <w:szCs w:val="23"/>
        </w:rPr>
        <w:t xml:space="preserve"> to </w:t>
      </w:r>
      <w:proofErr w:type="spellStart"/>
      <w:r w:rsidRPr="00DD5347">
        <w:rPr>
          <w:sz w:val="23"/>
          <w:szCs w:val="23"/>
        </w:rPr>
        <w:t>provide</w:t>
      </w:r>
      <w:proofErr w:type="spellEnd"/>
      <w:r w:rsidRPr="00DD5347">
        <w:rPr>
          <w:sz w:val="23"/>
          <w:szCs w:val="23"/>
        </w:rPr>
        <w:t xml:space="preserve"> a </w:t>
      </w:r>
      <w:proofErr w:type="spellStart"/>
      <w:r w:rsidRPr="00DD5347">
        <w:rPr>
          <w:sz w:val="23"/>
          <w:szCs w:val="23"/>
        </w:rPr>
        <w:t>draft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plan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for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exploitation</w:t>
      </w:r>
      <w:proofErr w:type="spellEnd"/>
      <w:r w:rsidRPr="00DD5347">
        <w:rPr>
          <w:sz w:val="23"/>
          <w:szCs w:val="23"/>
        </w:rPr>
        <w:t xml:space="preserve"> and </w:t>
      </w:r>
      <w:proofErr w:type="spellStart"/>
      <w:r w:rsidRPr="00DD5347">
        <w:rPr>
          <w:sz w:val="23"/>
          <w:szCs w:val="23"/>
        </w:rPr>
        <w:t>dissemination</w:t>
      </w:r>
      <w:proofErr w:type="spellEnd"/>
      <w:r w:rsidRPr="00DD5347">
        <w:rPr>
          <w:sz w:val="23"/>
          <w:szCs w:val="23"/>
        </w:rPr>
        <w:t xml:space="preserve">. A </w:t>
      </w:r>
      <w:proofErr w:type="spellStart"/>
      <w:r w:rsidRPr="00DD5347">
        <w:rPr>
          <w:sz w:val="23"/>
          <w:szCs w:val="23"/>
        </w:rPr>
        <w:t>proposal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for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phase</w:t>
      </w:r>
      <w:proofErr w:type="spellEnd"/>
      <w:r w:rsidRPr="00DD5347">
        <w:rPr>
          <w:sz w:val="23"/>
          <w:szCs w:val="23"/>
        </w:rPr>
        <w:t xml:space="preserve"> 2 </w:t>
      </w:r>
      <w:proofErr w:type="spellStart"/>
      <w:r w:rsidRPr="00DD5347">
        <w:rPr>
          <w:sz w:val="23"/>
          <w:szCs w:val="23"/>
        </w:rPr>
        <w:t>shall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include</w:t>
      </w:r>
      <w:proofErr w:type="spellEnd"/>
      <w:r w:rsidRPr="00DD5347">
        <w:rPr>
          <w:sz w:val="23"/>
          <w:szCs w:val="23"/>
        </w:rPr>
        <w:t xml:space="preserve"> a </w:t>
      </w:r>
      <w:proofErr w:type="spellStart"/>
      <w:r w:rsidRPr="00DD5347">
        <w:rPr>
          <w:sz w:val="23"/>
          <w:szCs w:val="23"/>
        </w:rPr>
        <w:t>first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commercialisation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plan</w:t>
      </w:r>
      <w:proofErr w:type="spellEnd"/>
      <w:r w:rsidRPr="00DD5347">
        <w:rPr>
          <w:sz w:val="23"/>
          <w:szCs w:val="23"/>
        </w:rPr>
        <w:t xml:space="preserve">. </w:t>
      </w:r>
    </w:p>
    <w:p w:rsidR="00DD5347" w:rsidRDefault="00DD5347" w:rsidP="00DD5347">
      <w:pPr>
        <w:pStyle w:val="Default"/>
        <w:rPr>
          <w:sz w:val="23"/>
          <w:szCs w:val="23"/>
        </w:rPr>
      </w:pPr>
    </w:p>
    <w:p w:rsidR="00DD5347" w:rsidRPr="00DD5347" w:rsidRDefault="00DD5347" w:rsidP="00DD5347">
      <w:pPr>
        <w:pStyle w:val="Default"/>
        <w:rPr>
          <w:sz w:val="23"/>
          <w:szCs w:val="23"/>
        </w:rPr>
      </w:pPr>
      <w:proofErr w:type="spellStart"/>
      <w:r w:rsidRPr="00DD5347">
        <w:rPr>
          <w:sz w:val="23"/>
          <w:szCs w:val="23"/>
          <w:u w:val="single"/>
        </w:rPr>
        <w:t>Evaluation</w:t>
      </w:r>
      <w:proofErr w:type="spellEnd"/>
      <w:r w:rsidRPr="00DD5347">
        <w:rPr>
          <w:sz w:val="23"/>
          <w:szCs w:val="23"/>
          <w:u w:val="single"/>
        </w:rPr>
        <w:t xml:space="preserve"> </w:t>
      </w:r>
      <w:proofErr w:type="spellStart"/>
      <w:r w:rsidRPr="00DD5347">
        <w:rPr>
          <w:sz w:val="23"/>
          <w:szCs w:val="23"/>
          <w:u w:val="single"/>
        </w:rPr>
        <w:t>criteria</w:t>
      </w:r>
      <w:proofErr w:type="spellEnd"/>
      <w:r w:rsidRPr="00DD5347">
        <w:rPr>
          <w:sz w:val="23"/>
          <w:szCs w:val="23"/>
          <w:u w:val="single"/>
        </w:rPr>
        <w:t xml:space="preserve">, </w:t>
      </w:r>
      <w:proofErr w:type="spellStart"/>
      <w:r w:rsidRPr="00DD5347">
        <w:rPr>
          <w:sz w:val="23"/>
          <w:szCs w:val="23"/>
          <w:u w:val="single"/>
        </w:rPr>
        <w:t>scoring</w:t>
      </w:r>
      <w:proofErr w:type="spellEnd"/>
      <w:r w:rsidRPr="00DD5347">
        <w:rPr>
          <w:sz w:val="23"/>
          <w:szCs w:val="23"/>
          <w:u w:val="single"/>
        </w:rPr>
        <w:t xml:space="preserve"> and </w:t>
      </w:r>
      <w:proofErr w:type="spellStart"/>
      <w:r w:rsidRPr="00DD5347">
        <w:rPr>
          <w:sz w:val="23"/>
          <w:szCs w:val="23"/>
          <w:u w:val="single"/>
        </w:rPr>
        <w:t>threshold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criteria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scoring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threshold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part H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following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exceptions</w:t>
      </w:r>
      <w:proofErr w:type="spellEnd"/>
      <w:r>
        <w:rPr>
          <w:sz w:val="23"/>
          <w:szCs w:val="23"/>
        </w:rPr>
        <w:t xml:space="preserve">: </w:t>
      </w:r>
      <w:r w:rsidRPr="00DD5347">
        <w:rPr>
          <w:sz w:val="23"/>
          <w:szCs w:val="23"/>
        </w:rPr>
        <w:t xml:space="preserve">ICT37 [SME </w:t>
      </w:r>
      <w:proofErr w:type="spellStart"/>
      <w:r w:rsidRPr="00DD5347">
        <w:rPr>
          <w:sz w:val="23"/>
          <w:szCs w:val="23"/>
        </w:rPr>
        <w:t>instrument</w:t>
      </w:r>
      <w:proofErr w:type="spellEnd"/>
      <w:r w:rsidRPr="00DD5347">
        <w:rPr>
          <w:sz w:val="23"/>
          <w:szCs w:val="23"/>
        </w:rPr>
        <w:t xml:space="preserve">] </w:t>
      </w:r>
      <w:r>
        <w:rPr>
          <w:sz w:val="23"/>
          <w:szCs w:val="23"/>
        </w:rPr>
        <w:t>= str. 86 pracovného programu</w:t>
      </w:r>
    </w:p>
    <w:p w:rsidR="00DD5347" w:rsidRPr="00DD5347" w:rsidRDefault="00DD5347" w:rsidP="00DD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Evaluation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procedure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: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procedure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for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setting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a priority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order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for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proposals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with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same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score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is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given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in part H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of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General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>Annexes</w:t>
      </w:r>
      <w:proofErr w:type="spellEnd"/>
      <w:r w:rsidRPr="00DD5347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. </w:t>
      </w:r>
    </w:p>
    <w:p w:rsidR="00DD5347" w:rsidRDefault="00DD5347" w:rsidP="00DD5347">
      <w:pPr>
        <w:pStyle w:val="Default"/>
        <w:rPr>
          <w:sz w:val="23"/>
          <w:szCs w:val="23"/>
        </w:rPr>
      </w:pPr>
      <w:proofErr w:type="spellStart"/>
      <w:r w:rsidRPr="00DD5347">
        <w:rPr>
          <w:sz w:val="23"/>
          <w:szCs w:val="23"/>
        </w:rPr>
        <w:t>The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full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evaluation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procedure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is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described</w:t>
      </w:r>
      <w:proofErr w:type="spellEnd"/>
      <w:r w:rsidRPr="00DD5347">
        <w:rPr>
          <w:sz w:val="23"/>
          <w:szCs w:val="23"/>
        </w:rPr>
        <w:t xml:space="preserve"> in </w:t>
      </w:r>
      <w:proofErr w:type="spellStart"/>
      <w:r w:rsidRPr="00DD5347">
        <w:rPr>
          <w:sz w:val="23"/>
          <w:szCs w:val="23"/>
        </w:rPr>
        <w:t>the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relevant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guide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associated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with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this</w:t>
      </w:r>
      <w:proofErr w:type="spellEnd"/>
      <w:r w:rsidRPr="00DD5347">
        <w:rPr>
          <w:sz w:val="23"/>
          <w:szCs w:val="23"/>
        </w:rPr>
        <w:t xml:space="preserve"> </w:t>
      </w:r>
      <w:proofErr w:type="spellStart"/>
      <w:r w:rsidRPr="00DD5347">
        <w:rPr>
          <w:sz w:val="23"/>
          <w:szCs w:val="23"/>
        </w:rPr>
        <w:t>call</w:t>
      </w:r>
      <w:proofErr w:type="spellEnd"/>
      <w:r w:rsidRPr="00DD5347">
        <w:rPr>
          <w:sz w:val="23"/>
          <w:szCs w:val="23"/>
        </w:rPr>
        <w:t>.</w:t>
      </w:r>
    </w:p>
    <w:p w:rsidR="005F47F4" w:rsidRDefault="005F47F4" w:rsidP="00DD5347">
      <w:pPr>
        <w:pStyle w:val="Default"/>
        <w:rPr>
          <w:sz w:val="23"/>
          <w:szCs w:val="23"/>
        </w:rPr>
      </w:pPr>
    </w:p>
    <w:p w:rsidR="005F47F4" w:rsidRPr="00DD5347" w:rsidRDefault="005F47F4" w:rsidP="00DD5347">
      <w:pPr>
        <w:pStyle w:val="Default"/>
        <w:rPr>
          <w:sz w:val="23"/>
          <w:szCs w:val="23"/>
        </w:rPr>
      </w:pPr>
      <w:proofErr w:type="spellStart"/>
      <w:r w:rsidRPr="005F47F4">
        <w:rPr>
          <w:sz w:val="23"/>
          <w:szCs w:val="23"/>
          <w:u w:val="single"/>
        </w:rPr>
        <w:t>Consortium</w:t>
      </w:r>
      <w:proofErr w:type="spellEnd"/>
      <w:r w:rsidRPr="005F47F4">
        <w:rPr>
          <w:sz w:val="23"/>
          <w:szCs w:val="23"/>
          <w:u w:val="single"/>
        </w:rPr>
        <w:t xml:space="preserve"> </w:t>
      </w:r>
      <w:proofErr w:type="spellStart"/>
      <w:r w:rsidRPr="005F47F4">
        <w:rPr>
          <w:sz w:val="23"/>
          <w:szCs w:val="23"/>
          <w:u w:val="single"/>
        </w:rPr>
        <w:t>agreement</w:t>
      </w:r>
      <w:proofErr w:type="spellEnd"/>
      <w:r>
        <w:rPr>
          <w:sz w:val="23"/>
          <w:szCs w:val="23"/>
        </w:rPr>
        <w:t xml:space="preserve">: In </w:t>
      </w:r>
      <w:proofErr w:type="spellStart"/>
      <w:r>
        <w:rPr>
          <w:sz w:val="23"/>
          <w:szCs w:val="23"/>
        </w:rPr>
        <w:t>line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Participation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Model Grant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participants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Research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Innovation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Actions</w:t>
      </w:r>
      <w:proofErr w:type="spellEnd"/>
      <w:r>
        <w:rPr>
          <w:sz w:val="23"/>
          <w:szCs w:val="23"/>
        </w:rPr>
        <w:t xml:space="preserve">, in </w:t>
      </w:r>
      <w:proofErr w:type="spellStart"/>
      <w:r>
        <w:rPr>
          <w:sz w:val="23"/>
          <w:szCs w:val="23"/>
        </w:rPr>
        <w:t>Innovation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Actions</w:t>
      </w:r>
      <w:proofErr w:type="spellEnd"/>
      <w:r>
        <w:rPr>
          <w:sz w:val="23"/>
          <w:szCs w:val="23"/>
        </w:rPr>
        <w:t xml:space="preserve"> and, in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two</w:t>
      </w:r>
      <w:proofErr w:type="spellEnd"/>
      <w:r>
        <w:rPr>
          <w:sz w:val="23"/>
          <w:szCs w:val="23"/>
        </w:rPr>
        <w:t xml:space="preserve"> or more </w:t>
      </w:r>
      <w:proofErr w:type="spellStart"/>
      <w:r>
        <w:rPr>
          <w:sz w:val="23"/>
          <w:szCs w:val="23"/>
        </w:rPr>
        <w:t>SMEs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submitting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proposal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also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participants</w:t>
      </w:r>
      <w:proofErr w:type="spellEnd"/>
      <w:r>
        <w:rPr>
          <w:sz w:val="23"/>
          <w:szCs w:val="23"/>
        </w:rPr>
        <w:t xml:space="preserve"> to SME Instruments </w:t>
      </w:r>
      <w:proofErr w:type="spellStart"/>
      <w:r>
        <w:rPr>
          <w:sz w:val="23"/>
          <w:szCs w:val="23"/>
        </w:rPr>
        <w:t>proposals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required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conclude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consortium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 xml:space="preserve"> prior to grant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>.</w:t>
      </w:r>
    </w:p>
    <w:p w:rsidR="00BF1330" w:rsidRDefault="00BF1330" w:rsidP="00BF1330">
      <w:pPr>
        <w:pStyle w:val="Default"/>
        <w:rPr>
          <w:sz w:val="22"/>
          <w:szCs w:val="22"/>
        </w:rPr>
      </w:pPr>
    </w:p>
    <w:p w:rsidR="00C20581" w:rsidRPr="00C20581" w:rsidRDefault="00C20581" w:rsidP="00C20581">
      <w:pPr>
        <w:pStyle w:val="Default"/>
        <w:rPr>
          <w:sz w:val="22"/>
          <w:szCs w:val="22"/>
        </w:rPr>
      </w:pPr>
      <w:proofErr w:type="spellStart"/>
      <w:r w:rsidRPr="00C20581">
        <w:rPr>
          <w:sz w:val="23"/>
          <w:szCs w:val="23"/>
          <w:u w:val="single"/>
        </w:rPr>
        <w:t>Financial</w:t>
      </w:r>
      <w:proofErr w:type="spellEnd"/>
      <w:r w:rsidRPr="00C20581">
        <w:rPr>
          <w:sz w:val="23"/>
          <w:szCs w:val="23"/>
          <w:u w:val="single"/>
        </w:rPr>
        <w:t xml:space="preserve"> </w:t>
      </w:r>
      <w:proofErr w:type="spellStart"/>
      <w:r w:rsidRPr="00C20581">
        <w:rPr>
          <w:sz w:val="23"/>
          <w:szCs w:val="23"/>
          <w:u w:val="single"/>
        </w:rPr>
        <w:t>support</w:t>
      </w:r>
      <w:proofErr w:type="spellEnd"/>
      <w:r w:rsidRPr="00C20581">
        <w:rPr>
          <w:sz w:val="23"/>
          <w:szCs w:val="23"/>
          <w:u w:val="single"/>
        </w:rPr>
        <w:t xml:space="preserve"> to </w:t>
      </w:r>
      <w:proofErr w:type="spellStart"/>
      <w:r w:rsidRPr="00C20581">
        <w:rPr>
          <w:sz w:val="23"/>
          <w:szCs w:val="23"/>
          <w:u w:val="single"/>
        </w:rPr>
        <w:t>third</w:t>
      </w:r>
      <w:proofErr w:type="spellEnd"/>
      <w:r w:rsidRPr="00C20581">
        <w:rPr>
          <w:sz w:val="23"/>
          <w:szCs w:val="23"/>
          <w:u w:val="single"/>
        </w:rPr>
        <w:t xml:space="preserve"> </w:t>
      </w:r>
      <w:proofErr w:type="spellStart"/>
      <w:r w:rsidRPr="00C20581">
        <w:rPr>
          <w:sz w:val="23"/>
          <w:szCs w:val="23"/>
          <w:u w:val="single"/>
        </w:rPr>
        <w:t>parties</w:t>
      </w:r>
      <w:proofErr w:type="spellEnd"/>
      <w:r>
        <w:rPr>
          <w:sz w:val="23"/>
          <w:szCs w:val="23"/>
        </w:rPr>
        <w:t xml:space="preserve">: </w:t>
      </w:r>
      <w:r w:rsidRPr="00C20581">
        <w:rPr>
          <w:sz w:val="22"/>
          <w:szCs w:val="22"/>
        </w:rPr>
        <w:t xml:space="preserve">ICT1.b, ICT11.a, ICT15.a </w:t>
      </w:r>
      <w:r w:rsidR="006B14EA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viď. str. 87 </w:t>
      </w:r>
      <w:r>
        <w:rPr>
          <w:sz w:val="23"/>
          <w:szCs w:val="23"/>
        </w:rPr>
        <w:t>pracovného programu</w:t>
      </w:r>
    </w:p>
    <w:p w:rsidR="00C20581" w:rsidRDefault="00C20581" w:rsidP="00BF1330">
      <w:pPr>
        <w:pStyle w:val="Default"/>
        <w:rPr>
          <w:sz w:val="22"/>
          <w:szCs w:val="22"/>
        </w:rPr>
      </w:pPr>
    </w:p>
    <w:p w:rsidR="000562B4" w:rsidRDefault="000562B4" w:rsidP="00BF1330">
      <w:pPr>
        <w:pStyle w:val="Default"/>
        <w:rPr>
          <w:b/>
          <w:bCs/>
          <w:sz w:val="23"/>
          <w:szCs w:val="23"/>
          <w:highlight w:val="green"/>
        </w:rPr>
      </w:pPr>
    </w:p>
    <w:p w:rsidR="00032C1B" w:rsidRDefault="00032C1B" w:rsidP="00BF1330">
      <w:pPr>
        <w:pStyle w:val="Default"/>
        <w:rPr>
          <w:b/>
          <w:bCs/>
          <w:sz w:val="23"/>
          <w:szCs w:val="23"/>
        </w:rPr>
      </w:pPr>
      <w:r w:rsidRPr="00BA71FE">
        <w:rPr>
          <w:b/>
          <w:bCs/>
          <w:sz w:val="23"/>
          <w:szCs w:val="23"/>
          <w:highlight w:val="green"/>
        </w:rPr>
        <w:lastRenderedPageBreak/>
        <w:t>H2020-ICT-2015</w:t>
      </w:r>
    </w:p>
    <w:p w:rsidR="00032C1B" w:rsidRDefault="00032C1B" w:rsidP="00BF1330">
      <w:pPr>
        <w:pStyle w:val="Default"/>
        <w:rPr>
          <w:b/>
          <w:bCs/>
          <w:sz w:val="23"/>
          <w:szCs w:val="23"/>
        </w:rPr>
      </w:pPr>
    </w:p>
    <w:p w:rsidR="00032C1B" w:rsidRPr="00032C1B" w:rsidRDefault="00032C1B" w:rsidP="00032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sk-SK"/>
        </w:rPr>
      </w:pPr>
      <w:proofErr w:type="spellStart"/>
      <w:r w:rsidRPr="00032C1B">
        <w:rPr>
          <w:rFonts w:ascii="Times New Roman" w:hAnsi="Times New Roman" w:cs="Times New Roman"/>
          <w:color w:val="000000"/>
          <w:u w:val="single"/>
          <w:lang w:val="sk-SK"/>
        </w:rPr>
        <w:t>Publication</w:t>
      </w:r>
      <w:proofErr w:type="spellEnd"/>
      <w:r w:rsidRPr="00032C1B">
        <w:rPr>
          <w:rFonts w:ascii="Times New Roman" w:hAnsi="Times New Roman" w:cs="Times New Roman"/>
          <w:color w:val="000000"/>
          <w:u w:val="single"/>
          <w:lang w:val="sk-SK"/>
        </w:rPr>
        <w:t xml:space="preserve"> </w:t>
      </w:r>
      <w:proofErr w:type="spellStart"/>
      <w:r w:rsidRPr="00032C1B">
        <w:rPr>
          <w:rFonts w:ascii="Times New Roman" w:hAnsi="Times New Roman" w:cs="Times New Roman"/>
          <w:color w:val="000000"/>
          <w:u w:val="single"/>
          <w:lang w:val="sk-SK"/>
        </w:rPr>
        <w:t>date</w:t>
      </w:r>
      <w:proofErr w:type="spellEnd"/>
      <w:r w:rsidRPr="00032C1B">
        <w:rPr>
          <w:rFonts w:ascii="Times New Roman" w:hAnsi="Times New Roman" w:cs="Times New Roman"/>
          <w:color w:val="000000"/>
          <w:lang w:val="sk-SK"/>
        </w:rPr>
        <w:t xml:space="preserve">: 15 </w:t>
      </w:r>
      <w:proofErr w:type="spellStart"/>
      <w:r w:rsidRPr="00032C1B">
        <w:rPr>
          <w:rFonts w:ascii="Times New Roman" w:hAnsi="Times New Roman" w:cs="Times New Roman"/>
          <w:color w:val="000000"/>
          <w:lang w:val="sk-SK"/>
        </w:rPr>
        <w:t>October</w:t>
      </w:r>
      <w:proofErr w:type="spellEnd"/>
      <w:r w:rsidRPr="00032C1B">
        <w:rPr>
          <w:rFonts w:ascii="Times New Roman" w:hAnsi="Times New Roman" w:cs="Times New Roman"/>
          <w:color w:val="000000"/>
          <w:lang w:val="sk-SK"/>
        </w:rPr>
        <w:t xml:space="preserve"> 2014</w:t>
      </w:r>
    </w:p>
    <w:p w:rsidR="00032C1B" w:rsidRDefault="00032C1B" w:rsidP="00032C1B">
      <w:pPr>
        <w:pStyle w:val="Default"/>
        <w:rPr>
          <w:sz w:val="22"/>
          <w:szCs w:val="22"/>
        </w:rPr>
      </w:pPr>
      <w:proofErr w:type="spellStart"/>
      <w:r w:rsidRPr="00032C1B">
        <w:rPr>
          <w:sz w:val="22"/>
          <w:szCs w:val="22"/>
          <w:u w:val="single"/>
        </w:rPr>
        <w:t>Deadline</w:t>
      </w:r>
      <w:proofErr w:type="spellEnd"/>
      <w:r w:rsidRPr="00032C1B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topics</w:t>
      </w:r>
      <w:proofErr w:type="spellEnd"/>
      <w:r>
        <w:rPr>
          <w:sz w:val="22"/>
          <w:szCs w:val="22"/>
        </w:rPr>
        <w:t xml:space="preserve"> = 14 </w:t>
      </w:r>
      <w:proofErr w:type="spellStart"/>
      <w:r>
        <w:rPr>
          <w:sz w:val="22"/>
          <w:szCs w:val="22"/>
        </w:rPr>
        <w:t>April</w:t>
      </w:r>
      <w:proofErr w:type="spellEnd"/>
      <w:r>
        <w:rPr>
          <w:sz w:val="22"/>
          <w:szCs w:val="22"/>
        </w:rPr>
        <w:t xml:space="preserve"> 2015 </w:t>
      </w:r>
      <w:proofErr w:type="spellStart"/>
      <w:r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 xml:space="preserve"> 17.00.00 </w:t>
      </w:r>
      <w:proofErr w:type="spellStart"/>
      <w:r>
        <w:rPr>
          <w:sz w:val="22"/>
          <w:szCs w:val="22"/>
        </w:rPr>
        <w:t>Brussels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time</w:t>
      </w:r>
      <w:proofErr w:type="spellEnd"/>
    </w:p>
    <w:p w:rsidR="00276C16" w:rsidRDefault="00276C16" w:rsidP="00032C1B">
      <w:pPr>
        <w:pStyle w:val="Default"/>
        <w:rPr>
          <w:sz w:val="22"/>
          <w:szCs w:val="22"/>
        </w:rPr>
      </w:pPr>
    </w:p>
    <w:p w:rsidR="00C91B26" w:rsidRDefault="00CF0C52" w:rsidP="00CF0C5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Vyhlásené témy: </w:t>
      </w:r>
      <w:proofErr w:type="spellStart"/>
      <w:r w:rsidR="00C91B26" w:rsidRPr="00C91B26">
        <w:rPr>
          <w:sz w:val="23"/>
          <w:szCs w:val="23"/>
        </w:rPr>
        <w:t>All</w:t>
      </w:r>
      <w:proofErr w:type="spellEnd"/>
      <w:r w:rsidR="00C91B26" w:rsidRPr="00C91B26">
        <w:rPr>
          <w:b/>
          <w:bCs/>
          <w:i/>
          <w:iCs/>
          <w:sz w:val="23"/>
          <w:szCs w:val="23"/>
        </w:rPr>
        <w:t xml:space="preserve"> </w:t>
      </w:r>
      <w:r w:rsidR="00C91B26" w:rsidRPr="00C91B26">
        <w:rPr>
          <w:sz w:val="23"/>
          <w:szCs w:val="23"/>
        </w:rPr>
        <w:t xml:space="preserve">single </w:t>
      </w:r>
      <w:proofErr w:type="spellStart"/>
      <w:r w:rsidR="00C91B26" w:rsidRPr="00C91B26">
        <w:rPr>
          <w:sz w:val="23"/>
          <w:szCs w:val="23"/>
        </w:rPr>
        <w:t>stage</w:t>
      </w:r>
      <w:proofErr w:type="spellEnd"/>
      <w:r w:rsidR="00C91B26" w:rsidRPr="00C91B26">
        <w:rPr>
          <w:b/>
          <w:bCs/>
          <w:i/>
          <w:iCs/>
          <w:sz w:val="23"/>
          <w:szCs w:val="23"/>
        </w:rPr>
        <w:t xml:space="preserve"> </w:t>
      </w:r>
    </w:p>
    <w:p w:rsidR="00C91B26" w:rsidRDefault="00C91B26" w:rsidP="00C91B26">
      <w:pPr>
        <w:pStyle w:val="Default"/>
        <w:rPr>
          <w:sz w:val="23"/>
          <w:szCs w:val="23"/>
        </w:rPr>
      </w:pPr>
      <w:r w:rsidRPr="00C91B26">
        <w:rPr>
          <w:sz w:val="23"/>
          <w:szCs w:val="23"/>
        </w:rPr>
        <w:t xml:space="preserve">ICT 4, ICT 8, </w:t>
      </w:r>
      <w:r>
        <w:rPr>
          <w:sz w:val="23"/>
          <w:szCs w:val="23"/>
        </w:rPr>
        <w:t>ICT 10, ICT 12, ICT 16, ICT</w:t>
      </w:r>
      <w:r w:rsidR="00CF0C52">
        <w:rPr>
          <w:sz w:val="23"/>
          <w:szCs w:val="23"/>
        </w:rPr>
        <w:t xml:space="preserve"> 19,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ICT</w:t>
      </w:r>
      <w:r w:rsidR="00CF0C52">
        <w:rPr>
          <w:sz w:val="23"/>
          <w:szCs w:val="23"/>
        </w:rPr>
        <w:t xml:space="preserve"> 20,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ICT</w:t>
      </w:r>
      <w:r w:rsidRPr="00C91B26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 xml:space="preserve">24, </w:t>
      </w:r>
      <w:r>
        <w:rPr>
          <w:sz w:val="23"/>
          <w:szCs w:val="23"/>
        </w:rPr>
        <w:t>ICT</w:t>
      </w:r>
      <w:r w:rsidRPr="00C91B26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 xml:space="preserve">25, </w:t>
      </w:r>
      <w:r>
        <w:rPr>
          <w:sz w:val="23"/>
          <w:szCs w:val="23"/>
        </w:rPr>
        <w:t>ICT</w:t>
      </w:r>
      <w:r w:rsidRPr="00C91B26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 xml:space="preserve">27, </w:t>
      </w:r>
      <w:r>
        <w:rPr>
          <w:sz w:val="23"/>
          <w:szCs w:val="23"/>
        </w:rPr>
        <w:t>ICT</w:t>
      </w:r>
      <w:r w:rsidRPr="00C91B26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 xml:space="preserve">28, </w:t>
      </w:r>
      <w:r>
        <w:rPr>
          <w:sz w:val="23"/>
          <w:szCs w:val="23"/>
        </w:rPr>
        <w:t>ICT</w:t>
      </w:r>
      <w:r w:rsidR="00CF0C52">
        <w:rPr>
          <w:sz w:val="23"/>
          <w:szCs w:val="23"/>
        </w:rPr>
        <w:t xml:space="preserve"> 30,</w:t>
      </w:r>
      <w:r w:rsidRPr="00C91B26">
        <w:rPr>
          <w:sz w:val="23"/>
          <w:szCs w:val="23"/>
        </w:rPr>
        <w:t xml:space="preserve"> </w:t>
      </w:r>
      <w:r>
        <w:rPr>
          <w:sz w:val="23"/>
          <w:szCs w:val="23"/>
        </w:rPr>
        <w:t>ICT</w:t>
      </w:r>
      <w:r w:rsidR="00CF0C52">
        <w:rPr>
          <w:sz w:val="23"/>
          <w:szCs w:val="23"/>
        </w:rPr>
        <w:t xml:space="preserve"> 34, ICT</w:t>
      </w:r>
      <w:r w:rsidR="00CF0C52" w:rsidRPr="00CF0C52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>36, ICT</w:t>
      </w:r>
      <w:r w:rsidR="00CF0C52" w:rsidRPr="00CF0C52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>38, ICT</w:t>
      </w:r>
      <w:r w:rsidR="00CF0C52" w:rsidRPr="00CF0C52">
        <w:rPr>
          <w:sz w:val="23"/>
          <w:szCs w:val="23"/>
        </w:rPr>
        <w:t xml:space="preserve"> </w:t>
      </w:r>
      <w:r w:rsidR="00CF0C52">
        <w:rPr>
          <w:sz w:val="23"/>
          <w:szCs w:val="23"/>
        </w:rPr>
        <w:t>39</w:t>
      </w:r>
    </w:p>
    <w:p w:rsidR="00D26C64" w:rsidRDefault="00D26C64" w:rsidP="00C91B26">
      <w:pPr>
        <w:pStyle w:val="Default"/>
        <w:rPr>
          <w:sz w:val="23"/>
          <w:szCs w:val="23"/>
        </w:rPr>
      </w:pPr>
    </w:p>
    <w:p w:rsidR="00D26C64" w:rsidRDefault="00D26C64" w:rsidP="00C91B26">
      <w:pPr>
        <w:pStyle w:val="Default"/>
        <w:rPr>
          <w:sz w:val="23"/>
          <w:szCs w:val="23"/>
        </w:rPr>
      </w:pPr>
      <w:proofErr w:type="spellStart"/>
      <w:r w:rsidRPr="00D26C64">
        <w:rPr>
          <w:sz w:val="23"/>
          <w:szCs w:val="23"/>
          <w:u w:val="single"/>
        </w:rPr>
        <w:t>Eligibility</w:t>
      </w:r>
      <w:proofErr w:type="spellEnd"/>
      <w:r w:rsidRPr="00D26C64">
        <w:rPr>
          <w:sz w:val="23"/>
          <w:szCs w:val="23"/>
          <w:u w:val="single"/>
        </w:rPr>
        <w:t xml:space="preserve"> and </w:t>
      </w:r>
      <w:proofErr w:type="spellStart"/>
      <w:r w:rsidRPr="00D26C64">
        <w:rPr>
          <w:sz w:val="23"/>
          <w:szCs w:val="23"/>
          <w:u w:val="single"/>
        </w:rPr>
        <w:t>admissibility</w:t>
      </w:r>
      <w:proofErr w:type="spellEnd"/>
      <w:r w:rsidRPr="00D26C64">
        <w:rPr>
          <w:sz w:val="23"/>
          <w:szCs w:val="23"/>
          <w:u w:val="single"/>
        </w:rPr>
        <w:t xml:space="preserve"> </w:t>
      </w:r>
      <w:proofErr w:type="spellStart"/>
      <w:r w:rsidRPr="00D26C64">
        <w:rPr>
          <w:sz w:val="23"/>
          <w:szCs w:val="23"/>
          <w:u w:val="single"/>
        </w:rPr>
        <w:t>conditions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conditions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parts</w:t>
      </w:r>
      <w:proofErr w:type="spellEnd"/>
      <w:r>
        <w:rPr>
          <w:sz w:val="23"/>
          <w:szCs w:val="23"/>
        </w:rPr>
        <w:t xml:space="preserve"> B and C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>.</w:t>
      </w:r>
    </w:p>
    <w:p w:rsidR="006B14EA" w:rsidRDefault="00D26C64" w:rsidP="006B14EA">
      <w:pPr>
        <w:pStyle w:val="Default"/>
        <w:rPr>
          <w:sz w:val="23"/>
          <w:szCs w:val="23"/>
        </w:rPr>
      </w:pPr>
      <w:proofErr w:type="spellStart"/>
      <w:r>
        <w:rPr>
          <w:sz w:val="22"/>
          <w:szCs w:val="22"/>
        </w:rPr>
        <w:t>Evaluation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criteria</w:t>
      </w:r>
      <w:proofErr w:type="spellEnd"/>
      <w:r>
        <w:rPr>
          <w:sz w:val="22"/>
          <w:szCs w:val="22"/>
        </w:rPr>
        <w:t xml:space="preserve">: </w:t>
      </w:r>
      <w:proofErr w:type="spellStart"/>
      <w:r w:rsidRPr="00D26C64">
        <w:rPr>
          <w:sz w:val="22"/>
          <w:szCs w:val="22"/>
        </w:rPr>
        <w:t>all</w:t>
      </w:r>
      <w:proofErr w:type="spellEnd"/>
      <w:r w:rsidRPr="00D26C64">
        <w:rPr>
          <w:sz w:val="22"/>
          <w:szCs w:val="22"/>
        </w:rPr>
        <w:t xml:space="preserve"> </w:t>
      </w:r>
      <w:proofErr w:type="spellStart"/>
      <w:r w:rsidRPr="00D26C64">
        <w:rPr>
          <w:sz w:val="22"/>
          <w:szCs w:val="22"/>
        </w:rPr>
        <w:t>topics</w:t>
      </w:r>
      <w:proofErr w:type="spellEnd"/>
      <w:r w:rsidRPr="00D26C64">
        <w:rPr>
          <w:sz w:val="22"/>
          <w:szCs w:val="22"/>
        </w:rPr>
        <w:t xml:space="preserve"> </w:t>
      </w:r>
      <w:proofErr w:type="spellStart"/>
      <w:r w:rsidRPr="00D26C64">
        <w:rPr>
          <w:sz w:val="22"/>
          <w:szCs w:val="22"/>
        </w:rPr>
        <w:t>except</w:t>
      </w:r>
      <w:proofErr w:type="spellEnd"/>
      <w:r w:rsidRPr="00D26C64">
        <w:rPr>
          <w:sz w:val="22"/>
          <w:szCs w:val="22"/>
        </w:rPr>
        <w:t xml:space="preserve"> ICT28.b </w:t>
      </w:r>
      <w:r>
        <w:rPr>
          <w:sz w:val="22"/>
          <w:szCs w:val="22"/>
        </w:rPr>
        <w:t>=</w:t>
      </w:r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The</w:t>
      </w:r>
      <w:proofErr w:type="spellEnd"/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criteria</w:t>
      </w:r>
      <w:proofErr w:type="spellEnd"/>
      <w:r w:rsidRPr="00D26C64">
        <w:rPr>
          <w:sz w:val="23"/>
          <w:szCs w:val="23"/>
        </w:rPr>
        <w:t xml:space="preserve">, </w:t>
      </w:r>
      <w:proofErr w:type="spellStart"/>
      <w:r w:rsidRPr="00D26C64">
        <w:rPr>
          <w:sz w:val="23"/>
          <w:szCs w:val="23"/>
        </w:rPr>
        <w:t>scoring</w:t>
      </w:r>
      <w:proofErr w:type="spellEnd"/>
      <w:r w:rsidRPr="00D26C64">
        <w:rPr>
          <w:sz w:val="23"/>
          <w:szCs w:val="23"/>
        </w:rPr>
        <w:t xml:space="preserve"> and </w:t>
      </w:r>
      <w:proofErr w:type="spellStart"/>
      <w:r w:rsidRPr="00D26C64">
        <w:rPr>
          <w:sz w:val="23"/>
          <w:szCs w:val="23"/>
        </w:rPr>
        <w:t>threshold</w:t>
      </w:r>
      <w:proofErr w:type="spellEnd"/>
      <w:r w:rsidRPr="00D26C64">
        <w:rPr>
          <w:sz w:val="23"/>
          <w:szCs w:val="23"/>
        </w:rPr>
        <w:t xml:space="preserve"> are </w:t>
      </w:r>
      <w:proofErr w:type="spellStart"/>
      <w:r w:rsidRPr="00D26C64">
        <w:rPr>
          <w:sz w:val="23"/>
          <w:szCs w:val="23"/>
        </w:rPr>
        <w:t>described</w:t>
      </w:r>
      <w:proofErr w:type="spellEnd"/>
      <w:r w:rsidRPr="00D26C64">
        <w:rPr>
          <w:sz w:val="23"/>
          <w:szCs w:val="23"/>
        </w:rPr>
        <w:t xml:space="preserve"> in part H </w:t>
      </w:r>
      <w:proofErr w:type="spellStart"/>
      <w:r w:rsidRPr="00D26C64">
        <w:rPr>
          <w:sz w:val="23"/>
          <w:szCs w:val="23"/>
        </w:rPr>
        <w:t>of</w:t>
      </w:r>
      <w:proofErr w:type="spellEnd"/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the</w:t>
      </w:r>
      <w:proofErr w:type="spellEnd"/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General</w:t>
      </w:r>
      <w:proofErr w:type="spellEnd"/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Annexes</w:t>
      </w:r>
      <w:proofErr w:type="spellEnd"/>
      <w:r w:rsidRPr="00D26C64">
        <w:rPr>
          <w:sz w:val="23"/>
          <w:szCs w:val="23"/>
        </w:rPr>
        <w:t xml:space="preserve"> to </w:t>
      </w:r>
      <w:proofErr w:type="spellStart"/>
      <w:r w:rsidRPr="00D26C64">
        <w:rPr>
          <w:sz w:val="23"/>
          <w:szCs w:val="23"/>
        </w:rPr>
        <w:t>the</w:t>
      </w:r>
      <w:proofErr w:type="spellEnd"/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work</w:t>
      </w:r>
      <w:proofErr w:type="spellEnd"/>
      <w:r w:rsidRPr="00D26C64">
        <w:rPr>
          <w:sz w:val="23"/>
          <w:szCs w:val="23"/>
        </w:rPr>
        <w:t xml:space="preserve"> </w:t>
      </w:r>
      <w:proofErr w:type="spellStart"/>
      <w:r w:rsidRPr="00D26C64">
        <w:rPr>
          <w:sz w:val="23"/>
          <w:szCs w:val="23"/>
        </w:rPr>
        <w:t>programme</w:t>
      </w:r>
      <w:proofErr w:type="spellEnd"/>
      <w:r w:rsidRPr="00D26C64">
        <w:rPr>
          <w:sz w:val="23"/>
          <w:szCs w:val="23"/>
        </w:rPr>
        <w:t xml:space="preserve">. </w:t>
      </w:r>
      <w:r w:rsidR="006B14EA" w:rsidRPr="006B14EA">
        <w:rPr>
          <w:sz w:val="22"/>
          <w:szCs w:val="22"/>
        </w:rPr>
        <w:t xml:space="preserve">ICT28.b </w:t>
      </w:r>
      <w:r w:rsidR="006B14EA">
        <w:rPr>
          <w:sz w:val="22"/>
          <w:szCs w:val="22"/>
        </w:rPr>
        <w:t xml:space="preserve">= viď. str. 89 </w:t>
      </w:r>
      <w:r w:rsidR="006B14EA">
        <w:rPr>
          <w:sz w:val="23"/>
          <w:szCs w:val="23"/>
        </w:rPr>
        <w:t>pracovného programu</w:t>
      </w:r>
    </w:p>
    <w:p w:rsidR="006B14EA" w:rsidRDefault="006B14EA" w:rsidP="006B14EA">
      <w:pPr>
        <w:pStyle w:val="Default"/>
        <w:rPr>
          <w:sz w:val="23"/>
          <w:szCs w:val="23"/>
        </w:rPr>
      </w:pPr>
    </w:p>
    <w:p w:rsidR="006B14EA" w:rsidRDefault="006B14EA" w:rsidP="006B14EA">
      <w:pPr>
        <w:pStyle w:val="Default"/>
        <w:rPr>
          <w:sz w:val="23"/>
          <w:szCs w:val="23"/>
        </w:rPr>
      </w:pPr>
      <w:proofErr w:type="spellStart"/>
      <w:r w:rsidRPr="006B14EA">
        <w:rPr>
          <w:sz w:val="23"/>
          <w:szCs w:val="23"/>
          <w:u w:val="single"/>
        </w:rPr>
        <w:t>Evaluation</w:t>
      </w:r>
      <w:proofErr w:type="spellEnd"/>
      <w:r w:rsidRPr="006B14EA">
        <w:rPr>
          <w:sz w:val="23"/>
          <w:szCs w:val="23"/>
          <w:u w:val="single"/>
        </w:rPr>
        <w:t xml:space="preserve"> </w:t>
      </w:r>
      <w:proofErr w:type="spellStart"/>
      <w:r w:rsidRPr="006B14EA">
        <w:rPr>
          <w:sz w:val="23"/>
          <w:szCs w:val="23"/>
          <w:u w:val="single"/>
        </w:rPr>
        <w:t>procedure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procedure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setting</w:t>
      </w:r>
      <w:proofErr w:type="spellEnd"/>
      <w:r>
        <w:rPr>
          <w:sz w:val="23"/>
          <w:szCs w:val="23"/>
        </w:rPr>
        <w:t xml:space="preserve"> a priority </w:t>
      </w:r>
      <w:proofErr w:type="spellStart"/>
      <w:r>
        <w:rPr>
          <w:sz w:val="23"/>
          <w:szCs w:val="23"/>
        </w:rPr>
        <w:t>order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proposals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score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given</w:t>
      </w:r>
      <w:proofErr w:type="spellEnd"/>
      <w:r>
        <w:rPr>
          <w:sz w:val="23"/>
          <w:szCs w:val="23"/>
        </w:rPr>
        <w:t xml:space="preserve"> in part H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. </w:t>
      </w:r>
    </w:p>
    <w:p w:rsidR="006B14EA" w:rsidRPr="006B14EA" w:rsidRDefault="006B14EA" w:rsidP="006B14EA">
      <w:pPr>
        <w:pStyle w:val="Default"/>
        <w:rPr>
          <w:sz w:val="22"/>
          <w:szCs w:val="22"/>
        </w:rPr>
      </w:pP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evaluation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procedure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relevant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guide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associated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call</w:t>
      </w:r>
      <w:proofErr w:type="spellEnd"/>
      <w:r>
        <w:rPr>
          <w:sz w:val="23"/>
          <w:szCs w:val="23"/>
        </w:rPr>
        <w:t>.</w:t>
      </w:r>
    </w:p>
    <w:p w:rsidR="00D26C64" w:rsidRPr="00D26C64" w:rsidRDefault="00D26C64" w:rsidP="00D26C64">
      <w:pPr>
        <w:pStyle w:val="Default"/>
        <w:rPr>
          <w:sz w:val="23"/>
          <w:szCs w:val="23"/>
        </w:rPr>
      </w:pPr>
    </w:p>
    <w:p w:rsidR="00D26C64" w:rsidRDefault="006B14EA" w:rsidP="00D26C64">
      <w:pPr>
        <w:pStyle w:val="Default"/>
        <w:rPr>
          <w:sz w:val="23"/>
          <w:szCs w:val="23"/>
        </w:rPr>
      </w:pPr>
      <w:proofErr w:type="spellStart"/>
      <w:r w:rsidRPr="006B14EA">
        <w:rPr>
          <w:sz w:val="23"/>
          <w:szCs w:val="23"/>
          <w:u w:val="single"/>
        </w:rPr>
        <w:t>Consortium</w:t>
      </w:r>
      <w:proofErr w:type="spellEnd"/>
      <w:r w:rsidRPr="006B14EA">
        <w:rPr>
          <w:sz w:val="23"/>
          <w:szCs w:val="23"/>
          <w:u w:val="single"/>
        </w:rPr>
        <w:t xml:space="preserve"> </w:t>
      </w:r>
      <w:proofErr w:type="spellStart"/>
      <w:r w:rsidRPr="006B14EA">
        <w:rPr>
          <w:sz w:val="23"/>
          <w:szCs w:val="23"/>
          <w:u w:val="single"/>
        </w:rPr>
        <w:t>agreement</w:t>
      </w:r>
      <w:proofErr w:type="spellEnd"/>
      <w:r>
        <w:rPr>
          <w:sz w:val="23"/>
          <w:szCs w:val="23"/>
        </w:rPr>
        <w:t xml:space="preserve">: In </w:t>
      </w:r>
      <w:proofErr w:type="spellStart"/>
      <w:r>
        <w:rPr>
          <w:sz w:val="23"/>
          <w:szCs w:val="23"/>
        </w:rPr>
        <w:t>line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Participation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Model Grant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participants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Research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Innovation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Actions</w:t>
      </w:r>
      <w:proofErr w:type="spellEnd"/>
      <w:r>
        <w:rPr>
          <w:sz w:val="23"/>
          <w:szCs w:val="23"/>
        </w:rPr>
        <w:t xml:space="preserve"> or in </w:t>
      </w:r>
      <w:proofErr w:type="spellStart"/>
      <w:r>
        <w:rPr>
          <w:sz w:val="23"/>
          <w:szCs w:val="23"/>
        </w:rPr>
        <w:t>Innovation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Actions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required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conclude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consortium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 xml:space="preserve"> prior to grant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>.</w:t>
      </w:r>
    </w:p>
    <w:p w:rsidR="006B14EA" w:rsidRDefault="006B14EA" w:rsidP="00D26C64">
      <w:pPr>
        <w:pStyle w:val="Default"/>
        <w:rPr>
          <w:sz w:val="23"/>
          <w:szCs w:val="23"/>
        </w:rPr>
      </w:pPr>
    </w:p>
    <w:p w:rsidR="006B14EA" w:rsidRPr="006B14EA" w:rsidRDefault="006B14EA" w:rsidP="006B14EA">
      <w:pPr>
        <w:pStyle w:val="Default"/>
        <w:rPr>
          <w:sz w:val="22"/>
          <w:szCs w:val="22"/>
        </w:rPr>
      </w:pPr>
      <w:proofErr w:type="spellStart"/>
      <w:r w:rsidRPr="006B14EA">
        <w:rPr>
          <w:sz w:val="23"/>
          <w:szCs w:val="23"/>
          <w:u w:val="single"/>
        </w:rPr>
        <w:t>Financial</w:t>
      </w:r>
      <w:proofErr w:type="spellEnd"/>
      <w:r w:rsidRPr="006B14EA">
        <w:rPr>
          <w:sz w:val="23"/>
          <w:szCs w:val="23"/>
          <w:u w:val="single"/>
        </w:rPr>
        <w:t xml:space="preserve"> </w:t>
      </w:r>
      <w:proofErr w:type="spellStart"/>
      <w:r w:rsidRPr="006B14EA">
        <w:rPr>
          <w:sz w:val="23"/>
          <w:szCs w:val="23"/>
          <w:u w:val="single"/>
        </w:rPr>
        <w:t>support</w:t>
      </w:r>
      <w:proofErr w:type="spellEnd"/>
      <w:r w:rsidRPr="006B14EA">
        <w:rPr>
          <w:sz w:val="23"/>
          <w:szCs w:val="23"/>
          <w:u w:val="single"/>
        </w:rPr>
        <w:t xml:space="preserve"> to </w:t>
      </w:r>
      <w:proofErr w:type="spellStart"/>
      <w:r w:rsidRPr="006B14EA">
        <w:rPr>
          <w:sz w:val="23"/>
          <w:szCs w:val="23"/>
          <w:u w:val="single"/>
        </w:rPr>
        <w:t>third</w:t>
      </w:r>
      <w:proofErr w:type="spellEnd"/>
      <w:r w:rsidRPr="006B14EA">
        <w:rPr>
          <w:sz w:val="23"/>
          <w:szCs w:val="23"/>
          <w:u w:val="single"/>
        </w:rPr>
        <w:t xml:space="preserve"> </w:t>
      </w:r>
      <w:proofErr w:type="spellStart"/>
      <w:r w:rsidRPr="006B14EA">
        <w:rPr>
          <w:sz w:val="23"/>
          <w:szCs w:val="23"/>
          <w:u w:val="single"/>
        </w:rPr>
        <w:t>parties</w:t>
      </w:r>
      <w:proofErr w:type="spellEnd"/>
      <w:r>
        <w:rPr>
          <w:sz w:val="23"/>
          <w:szCs w:val="23"/>
        </w:rPr>
        <w:t xml:space="preserve">: </w:t>
      </w:r>
      <w:r w:rsidRPr="006B14EA">
        <w:rPr>
          <w:sz w:val="22"/>
          <w:szCs w:val="22"/>
        </w:rPr>
        <w:t xml:space="preserve">ICT4.b, ICT12.a, ICT24.b, ICT30.a </w:t>
      </w:r>
      <w:r>
        <w:rPr>
          <w:sz w:val="22"/>
          <w:szCs w:val="22"/>
        </w:rPr>
        <w:t xml:space="preserve">= viď. str. 91 </w:t>
      </w:r>
      <w:r>
        <w:rPr>
          <w:sz w:val="23"/>
          <w:szCs w:val="23"/>
        </w:rPr>
        <w:t>pracovného programu</w:t>
      </w:r>
    </w:p>
    <w:p w:rsidR="006B14EA" w:rsidRPr="00D26C64" w:rsidRDefault="006B14EA" w:rsidP="00D26C64">
      <w:pPr>
        <w:pStyle w:val="Default"/>
        <w:rPr>
          <w:sz w:val="22"/>
          <w:szCs w:val="22"/>
        </w:rPr>
      </w:pPr>
    </w:p>
    <w:p w:rsidR="00D26C64" w:rsidRDefault="00235E1E" w:rsidP="00C91B26">
      <w:pPr>
        <w:pStyle w:val="Default"/>
        <w:rPr>
          <w:b/>
          <w:bCs/>
          <w:sz w:val="23"/>
          <w:szCs w:val="23"/>
        </w:rPr>
      </w:pPr>
      <w:r w:rsidRPr="00BA71FE">
        <w:rPr>
          <w:b/>
          <w:bCs/>
          <w:sz w:val="23"/>
          <w:szCs w:val="23"/>
          <w:highlight w:val="green"/>
        </w:rPr>
        <w:t>H2020-EUB-2015</w:t>
      </w:r>
    </w:p>
    <w:p w:rsidR="00235E1E" w:rsidRDefault="00235E1E" w:rsidP="00C91B26">
      <w:pPr>
        <w:pStyle w:val="Default"/>
        <w:rPr>
          <w:b/>
          <w:bCs/>
          <w:sz w:val="23"/>
          <w:szCs w:val="23"/>
        </w:rPr>
      </w:pPr>
    </w:p>
    <w:p w:rsidR="00235E1E" w:rsidRDefault="00235E1E" w:rsidP="00235E1E">
      <w:pPr>
        <w:pStyle w:val="Default"/>
        <w:rPr>
          <w:sz w:val="16"/>
          <w:szCs w:val="16"/>
        </w:rPr>
      </w:pPr>
      <w:proofErr w:type="spellStart"/>
      <w:r w:rsidRPr="002F3FB2">
        <w:rPr>
          <w:sz w:val="23"/>
          <w:szCs w:val="23"/>
          <w:u w:val="single"/>
        </w:rPr>
        <w:t>Publication</w:t>
      </w:r>
      <w:proofErr w:type="spellEnd"/>
      <w:r w:rsidRPr="002F3FB2">
        <w:rPr>
          <w:sz w:val="23"/>
          <w:szCs w:val="23"/>
          <w:u w:val="single"/>
        </w:rPr>
        <w:t xml:space="preserve"> </w:t>
      </w:r>
      <w:proofErr w:type="spellStart"/>
      <w:r w:rsidRPr="002F3FB2">
        <w:rPr>
          <w:sz w:val="23"/>
          <w:szCs w:val="23"/>
          <w:u w:val="single"/>
        </w:rPr>
        <w:t>date</w:t>
      </w:r>
      <w:proofErr w:type="spellEnd"/>
      <w:r>
        <w:rPr>
          <w:sz w:val="23"/>
          <w:szCs w:val="23"/>
        </w:rPr>
        <w:t xml:space="preserve">: 15 </w:t>
      </w:r>
      <w:proofErr w:type="spellStart"/>
      <w:r>
        <w:rPr>
          <w:sz w:val="23"/>
          <w:szCs w:val="23"/>
        </w:rPr>
        <w:t>October</w:t>
      </w:r>
      <w:proofErr w:type="spellEnd"/>
      <w:r>
        <w:rPr>
          <w:sz w:val="23"/>
          <w:szCs w:val="23"/>
        </w:rPr>
        <w:t xml:space="preserve"> 2014</w:t>
      </w:r>
    </w:p>
    <w:p w:rsidR="00235E1E" w:rsidRDefault="00235E1E" w:rsidP="00235E1E">
      <w:pPr>
        <w:pStyle w:val="Default"/>
        <w:rPr>
          <w:sz w:val="23"/>
          <w:szCs w:val="23"/>
        </w:rPr>
      </w:pPr>
      <w:proofErr w:type="spellStart"/>
      <w:r w:rsidRPr="002F3FB2">
        <w:rPr>
          <w:sz w:val="23"/>
          <w:szCs w:val="23"/>
          <w:u w:val="single"/>
        </w:rPr>
        <w:t>Deadline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topics</w:t>
      </w:r>
      <w:proofErr w:type="spellEnd"/>
      <w:r>
        <w:rPr>
          <w:sz w:val="23"/>
          <w:szCs w:val="23"/>
        </w:rPr>
        <w:t xml:space="preserve"> = 21 </w:t>
      </w:r>
      <w:proofErr w:type="spellStart"/>
      <w:r>
        <w:rPr>
          <w:sz w:val="23"/>
          <w:szCs w:val="23"/>
        </w:rPr>
        <w:t>April</w:t>
      </w:r>
      <w:proofErr w:type="spellEnd"/>
      <w:r>
        <w:rPr>
          <w:sz w:val="23"/>
          <w:szCs w:val="23"/>
        </w:rPr>
        <w:t xml:space="preserve"> 2015 </w:t>
      </w:r>
      <w:proofErr w:type="spellStart"/>
      <w:r>
        <w:rPr>
          <w:sz w:val="23"/>
          <w:szCs w:val="23"/>
        </w:rPr>
        <w:t>at</w:t>
      </w:r>
      <w:proofErr w:type="spellEnd"/>
      <w:r>
        <w:rPr>
          <w:sz w:val="23"/>
          <w:szCs w:val="23"/>
        </w:rPr>
        <w:t xml:space="preserve"> 17.00.00 </w:t>
      </w:r>
      <w:proofErr w:type="spellStart"/>
      <w:r>
        <w:rPr>
          <w:sz w:val="23"/>
          <w:szCs w:val="23"/>
        </w:rPr>
        <w:t>Brussels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time</w:t>
      </w:r>
      <w:proofErr w:type="spellEnd"/>
      <w:r>
        <w:rPr>
          <w:sz w:val="23"/>
          <w:szCs w:val="23"/>
        </w:rPr>
        <w:t xml:space="preserve"> </w:t>
      </w:r>
    </w:p>
    <w:p w:rsidR="00EF4E59" w:rsidRDefault="00EF4E59" w:rsidP="00235E1E">
      <w:pPr>
        <w:pStyle w:val="Default"/>
        <w:rPr>
          <w:sz w:val="23"/>
          <w:szCs w:val="23"/>
        </w:rPr>
      </w:pPr>
    </w:p>
    <w:p w:rsidR="00EF4E59" w:rsidRDefault="00EF4E59" w:rsidP="00EF4E59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Vyhlásené témy: </w:t>
      </w:r>
      <w:proofErr w:type="spellStart"/>
      <w:r w:rsidRPr="00C91B26">
        <w:rPr>
          <w:sz w:val="23"/>
          <w:szCs w:val="23"/>
        </w:rPr>
        <w:t>All</w:t>
      </w:r>
      <w:proofErr w:type="spellEnd"/>
      <w:r w:rsidRPr="00C91B26">
        <w:rPr>
          <w:b/>
          <w:bCs/>
          <w:i/>
          <w:iCs/>
          <w:sz w:val="23"/>
          <w:szCs w:val="23"/>
        </w:rPr>
        <w:t xml:space="preserve"> </w:t>
      </w:r>
      <w:r w:rsidRPr="00C91B26">
        <w:rPr>
          <w:sz w:val="23"/>
          <w:szCs w:val="23"/>
        </w:rPr>
        <w:t xml:space="preserve">single </w:t>
      </w:r>
      <w:proofErr w:type="spellStart"/>
      <w:r w:rsidRPr="00C91B26">
        <w:rPr>
          <w:sz w:val="23"/>
          <w:szCs w:val="23"/>
        </w:rPr>
        <w:t>stage</w:t>
      </w:r>
      <w:proofErr w:type="spellEnd"/>
      <w:r w:rsidRPr="00C91B26">
        <w:rPr>
          <w:b/>
          <w:bCs/>
          <w:i/>
          <w:iCs/>
          <w:sz w:val="23"/>
          <w:szCs w:val="23"/>
        </w:rPr>
        <w:t xml:space="preserve"> </w:t>
      </w:r>
    </w:p>
    <w:p w:rsidR="00EF4E59" w:rsidRDefault="00EF4E59" w:rsidP="00235E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EUB 1, EUB 2, EUB 3</w:t>
      </w:r>
    </w:p>
    <w:p w:rsidR="00F16CD8" w:rsidRDefault="00F16CD8" w:rsidP="00235E1E">
      <w:pPr>
        <w:pStyle w:val="Default"/>
        <w:rPr>
          <w:sz w:val="23"/>
          <w:szCs w:val="23"/>
        </w:rPr>
      </w:pPr>
    </w:p>
    <w:p w:rsidR="00F16CD8" w:rsidRDefault="00F16CD8" w:rsidP="00F16CD8">
      <w:pPr>
        <w:pStyle w:val="Default"/>
        <w:rPr>
          <w:sz w:val="23"/>
          <w:szCs w:val="23"/>
        </w:rPr>
      </w:pPr>
      <w:proofErr w:type="spellStart"/>
      <w:r w:rsidRPr="00F16CD8">
        <w:rPr>
          <w:sz w:val="23"/>
          <w:szCs w:val="23"/>
          <w:u w:val="single"/>
        </w:rPr>
        <w:t>Eligibility</w:t>
      </w:r>
      <w:proofErr w:type="spellEnd"/>
      <w:r w:rsidRPr="00F16CD8">
        <w:rPr>
          <w:sz w:val="23"/>
          <w:szCs w:val="23"/>
          <w:u w:val="single"/>
        </w:rPr>
        <w:t xml:space="preserve"> and </w:t>
      </w:r>
      <w:proofErr w:type="spellStart"/>
      <w:r w:rsidRPr="00F16CD8">
        <w:rPr>
          <w:sz w:val="23"/>
          <w:szCs w:val="23"/>
          <w:u w:val="single"/>
        </w:rPr>
        <w:t>admissibility</w:t>
      </w:r>
      <w:proofErr w:type="spellEnd"/>
      <w:r w:rsidRPr="00F16CD8">
        <w:rPr>
          <w:sz w:val="23"/>
          <w:szCs w:val="23"/>
          <w:u w:val="single"/>
        </w:rPr>
        <w:t xml:space="preserve"> </w:t>
      </w:r>
      <w:proofErr w:type="spellStart"/>
      <w:r w:rsidRPr="00F16CD8">
        <w:rPr>
          <w:sz w:val="23"/>
          <w:szCs w:val="23"/>
          <w:u w:val="single"/>
        </w:rPr>
        <w:t>conditions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conditions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parts</w:t>
      </w:r>
      <w:proofErr w:type="spellEnd"/>
      <w:r>
        <w:rPr>
          <w:sz w:val="23"/>
          <w:szCs w:val="23"/>
        </w:rPr>
        <w:t xml:space="preserve"> B and C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following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exceptions</w:t>
      </w:r>
      <w:proofErr w:type="spellEnd"/>
      <w:r>
        <w:rPr>
          <w:sz w:val="23"/>
          <w:szCs w:val="23"/>
        </w:rPr>
        <w:t xml:space="preserve">: </w:t>
      </w:r>
    </w:p>
    <w:p w:rsidR="00F16CD8" w:rsidRDefault="00F16CD8" w:rsidP="00F16CD8">
      <w:pPr>
        <w:pStyle w:val="Default"/>
        <w:rPr>
          <w:sz w:val="23"/>
          <w:szCs w:val="23"/>
        </w:rPr>
      </w:pPr>
      <w:proofErr w:type="spellStart"/>
      <w:r w:rsidRPr="00F16CD8">
        <w:rPr>
          <w:b/>
          <w:sz w:val="23"/>
          <w:szCs w:val="23"/>
        </w:rPr>
        <w:t>Additional</w:t>
      </w:r>
      <w:proofErr w:type="spellEnd"/>
      <w:r w:rsidRPr="00F16CD8">
        <w:rPr>
          <w:b/>
          <w:sz w:val="23"/>
          <w:szCs w:val="23"/>
        </w:rPr>
        <w:t xml:space="preserve"> </w:t>
      </w:r>
      <w:proofErr w:type="spellStart"/>
      <w:r w:rsidRPr="00F16CD8">
        <w:rPr>
          <w:b/>
          <w:sz w:val="23"/>
          <w:szCs w:val="23"/>
        </w:rPr>
        <w:t>eligibility</w:t>
      </w:r>
      <w:proofErr w:type="spellEnd"/>
      <w:r w:rsidRPr="00F16CD8">
        <w:rPr>
          <w:b/>
          <w:sz w:val="23"/>
          <w:szCs w:val="23"/>
        </w:rPr>
        <w:t xml:space="preserve"> </w:t>
      </w:r>
      <w:proofErr w:type="spellStart"/>
      <w:r w:rsidRPr="00F16CD8">
        <w:rPr>
          <w:b/>
          <w:sz w:val="23"/>
          <w:szCs w:val="23"/>
        </w:rPr>
        <w:t>criterion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Proposals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submitted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which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include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coordination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Brazilian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proposal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considered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ineligible</w:t>
      </w:r>
      <w:proofErr w:type="spellEnd"/>
      <w:r>
        <w:rPr>
          <w:sz w:val="23"/>
          <w:szCs w:val="23"/>
        </w:rPr>
        <w:t xml:space="preserve">. </w:t>
      </w:r>
    </w:p>
    <w:p w:rsidR="00F16CD8" w:rsidRDefault="00F16CD8" w:rsidP="00F16CD8">
      <w:pPr>
        <w:pStyle w:val="Default"/>
        <w:rPr>
          <w:sz w:val="23"/>
          <w:szCs w:val="23"/>
        </w:rPr>
      </w:pPr>
    </w:p>
    <w:p w:rsidR="00F16CD8" w:rsidRDefault="00F16CD8" w:rsidP="00F16CD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proposed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project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duration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shall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exceed</w:t>
      </w:r>
      <w:proofErr w:type="spellEnd"/>
      <w:r>
        <w:rPr>
          <w:sz w:val="23"/>
          <w:szCs w:val="23"/>
        </w:rPr>
        <w:t xml:space="preserve"> 36 </w:t>
      </w:r>
      <w:proofErr w:type="spellStart"/>
      <w:r>
        <w:rPr>
          <w:sz w:val="23"/>
          <w:szCs w:val="23"/>
        </w:rPr>
        <w:t>months</w:t>
      </w:r>
      <w:proofErr w:type="spellEnd"/>
    </w:p>
    <w:p w:rsidR="00F16CD8" w:rsidRDefault="00F16CD8" w:rsidP="00F16CD8">
      <w:pPr>
        <w:pStyle w:val="Default"/>
        <w:rPr>
          <w:sz w:val="23"/>
          <w:szCs w:val="23"/>
        </w:rPr>
      </w:pPr>
    </w:p>
    <w:p w:rsidR="00F16CD8" w:rsidRDefault="00F16CD8" w:rsidP="00F16CD8">
      <w:pPr>
        <w:pStyle w:val="Default"/>
        <w:rPr>
          <w:sz w:val="23"/>
          <w:szCs w:val="23"/>
        </w:rPr>
      </w:pPr>
      <w:proofErr w:type="spellStart"/>
      <w:r w:rsidRPr="00F16CD8">
        <w:rPr>
          <w:sz w:val="23"/>
          <w:szCs w:val="23"/>
          <w:u w:val="single"/>
        </w:rPr>
        <w:t>Evaluation</w:t>
      </w:r>
      <w:proofErr w:type="spellEnd"/>
      <w:r w:rsidRPr="00F16CD8">
        <w:rPr>
          <w:sz w:val="23"/>
          <w:szCs w:val="23"/>
          <w:u w:val="single"/>
        </w:rPr>
        <w:t xml:space="preserve"> </w:t>
      </w:r>
      <w:proofErr w:type="spellStart"/>
      <w:r w:rsidRPr="00F16CD8">
        <w:rPr>
          <w:sz w:val="23"/>
          <w:szCs w:val="23"/>
          <w:u w:val="single"/>
        </w:rPr>
        <w:t>criteria</w:t>
      </w:r>
      <w:proofErr w:type="spellEnd"/>
      <w:r w:rsidRPr="00F16CD8">
        <w:rPr>
          <w:sz w:val="23"/>
          <w:szCs w:val="23"/>
          <w:u w:val="single"/>
        </w:rPr>
        <w:t xml:space="preserve">, </w:t>
      </w:r>
      <w:proofErr w:type="spellStart"/>
      <w:r w:rsidRPr="00F16CD8">
        <w:rPr>
          <w:sz w:val="23"/>
          <w:szCs w:val="23"/>
          <w:u w:val="single"/>
        </w:rPr>
        <w:t>scoring</w:t>
      </w:r>
      <w:proofErr w:type="spellEnd"/>
      <w:r w:rsidRPr="00F16CD8">
        <w:rPr>
          <w:sz w:val="23"/>
          <w:szCs w:val="23"/>
          <w:u w:val="single"/>
        </w:rPr>
        <w:t xml:space="preserve"> and </w:t>
      </w:r>
      <w:proofErr w:type="spellStart"/>
      <w:r w:rsidRPr="00F16CD8">
        <w:rPr>
          <w:sz w:val="23"/>
          <w:szCs w:val="23"/>
          <w:u w:val="single"/>
        </w:rPr>
        <w:t>threshold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criteria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scoring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threshold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part H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>.</w:t>
      </w:r>
    </w:p>
    <w:p w:rsidR="00F16CD8" w:rsidRDefault="00F16CD8" w:rsidP="00F16CD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Evaluation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procedure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procedure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setting</w:t>
      </w:r>
      <w:proofErr w:type="spellEnd"/>
      <w:r>
        <w:rPr>
          <w:sz w:val="23"/>
          <w:szCs w:val="23"/>
        </w:rPr>
        <w:t xml:space="preserve"> a priority </w:t>
      </w:r>
      <w:proofErr w:type="spellStart"/>
      <w:r>
        <w:rPr>
          <w:sz w:val="23"/>
          <w:szCs w:val="23"/>
        </w:rPr>
        <w:t>order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proposals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score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given</w:t>
      </w:r>
      <w:proofErr w:type="spellEnd"/>
      <w:r>
        <w:rPr>
          <w:sz w:val="23"/>
          <w:szCs w:val="23"/>
        </w:rPr>
        <w:t xml:space="preserve"> in part H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Annexes</w:t>
      </w:r>
      <w:proofErr w:type="spellEnd"/>
      <w:r>
        <w:rPr>
          <w:sz w:val="23"/>
          <w:szCs w:val="23"/>
        </w:rPr>
        <w:t xml:space="preserve">. </w:t>
      </w:r>
    </w:p>
    <w:p w:rsidR="00F16CD8" w:rsidRDefault="00F16CD8" w:rsidP="00F16CD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evaluation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procedure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relevant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guide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associated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call</w:t>
      </w:r>
      <w:proofErr w:type="spellEnd"/>
      <w:r>
        <w:rPr>
          <w:sz w:val="23"/>
          <w:szCs w:val="23"/>
        </w:rPr>
        <w:t>.</w:t>
      </w:r>
    </w:p>
    <w:p w:rsidR="00BA71FE" w:rsidRDefault="00BA71FE" w:rsidP="00F16CD8">
      <w:pPr>
        <w:pStyle w:val="Default"/>
        <w:rPr>
          <w:sz w:val="23"/>
          <w:szCs w:val="23"/>
        </w:rPr>
      </w:pPr>
    </w:p>
    <w:p w:rsidR="00BA71FE" w:rsidRDefault="00BA71FE" w:rsidP="00F16CD8">
      <w:pPr>
        <w:pStyle w:val="Default"/>
        <w:rPr>
          <w:sz w:val="23"/>
          <w:szCs w:val="23"/>
        </w:rPr>
      </w:pPr>
      <w:proofErr w:type="spellStart"/>
      <w:r w:rsidRPr="00BA71FE">
        <w:rPr>
          <w:sz w:val="23"/>
          <w:szCs w:val="23"/>
          <w:u w:val="single"/>
        </w:rPr>
        <w:t>Consortium</w:t>
      </w:r>
      <w:proofErr w:type="spellEnd"/>
      <w:r w:rsidRPr="00BA71FE">
        <w:rPr>
          <w:sz w:val="23"/>
          <w:szCs w:val="23"/>
          <w:u w:val="single"/>
        </w:rPr>
        <w:t xml:space="preserve"> </w:t>
      </w:r>
      <w:proofErr w:type="spellStart"/>
      <w:r w:rsidRPr="00BA71FE">
        <w:rPr>
          <w:sz w:val="23"/>
          <w:szCs w:val="23"/>
          <w:u w:val="single"/>
        </w:rPr>
        <w:t>agreement</w:t>
      </w:r>
      <w:proofErr w:type="spellEnd"/>
      <w:r>
        <w:rPr>
          <w:sz w:val="23"/>
          <w:szCs w:val="23"/>
        </w:rPr>
        <w:t xml:space="preserve">: In </w:t>
      </w:r>
      <w:proofErr w:type="spellStart"/>
      <w:r>
        <w:rPr>
          <w:sz w:val="23"/>
          <w:szCs w:val="23"/>
        </w:rPr>
        <w:t>line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Participation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Model Grant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participants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Research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Innovation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Actions</w:t>
      </w:r>
      <w:proofErr w:type="spellEnd"/>
      <w:r>
        <w:rPr>
          <w:sz w:val="23"/>
          <w:szCs w:val="23"/>
        </w:rPr>
        <w:t xml:space="preserve"> or in </w:t>
      </w:r>
      <w:proofErr w:type="spellStart"/>
      <w:r>
        <w:rPr>
          <w:sz w:val="23"/>
          <w:szCs w:val="23"/>
        </w:rPr>
        <w:t>Innovation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Actions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required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conclude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consortium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 xml:space="preserve"> prior to grant </w:t>
      </w:r>
      <w:proofErr w:type="spellStart"/>
      <w:r>
        <w:rPr>
          <w:sz w:val="23"/>
          <w:szCs w:val="23"/>
        </w:rPr>
        <w:t>agreement</w:t>
      </w:r>
      <w:proofErr w:type="spellEnd"/>
      <w:r>
        <w:rPr>
          <w:sz w:val="23"/>
          <w:szCs w:val="23"/>
        </w:rPr>
        <w:t>.</w:t>
      </w:r>
    </w:p>
    <w:p w:rsidR="00BA71FE" w:rsidRDefault="00BA71FE" w:rsidP="00F16CD8">
      <w:pPr>
        <w:pStyle w:val="Default"/>
        <w:rPr>
          <w:sz w:val="23"/>
          <w:szCs w:val="23"/>
        </w:rPr>
      </w:pPr>
    </w:p>
    <w:p w:rsidR="00BA71FE" w:rsidRPr="000562B4" w:rsidRDefault="00AC4830" w:rsidP="00F16CD8">
      <w:pPr>
        <w:pStyle w:val="Default"/>
        <w:rPr>
          <w:b/>
          <w:bCs/>
          <w:sz w:val="23"/>
          <w:szCs w:val="23"/>
          <w:highlight w:val="green"/>
        </w:rPr>
      </w:pPr>
      <w:r w:rsidRPr="000562B4">
        <w:rPr>
          <w:b/>
          <w:bCs/>
          <w:sz w:val="23"/>
          <w:szCs w:val="23"/>
          <w:highlight w:val="green"/>
        </w:rPr>
        <w:t>H2020-EUJ-2014</w:t>
      </w:r>
    </w:p>
    <w:p w:rsidR="00AC4830" w:rsidRDefault="00AC4830" w:rsidP="00F16CD8">
      <w:pPr>
        <w:pStyle w:val="Default"/>
        <w:rPr>
          <w:b/>
          <w:bCs/>
          <w:sz w:val="23"/>
          <w:szCs w:val="23"/>
        </w:rPr>
      </w:pPr>
    </w:p>
    <w:p w:rsidR="000562B4" w:rsidRDefault="000562B4" w:rsidP="000562B4">
      <w:pPr>
        <w:pStyle w:val="Default"/>
        <w:rPr>
          <w:sz w:val="14"/>
          <w:szCs w:val="14"/>
        </w:rPr>
      </w:pPr>
      <w:proofErr w:type="spellStart"/>
      <w:r>
        <w:rPr>
          <w:sz w:val="23"/>
          <w:szCs w:val="23"/>
        </w:rPr>
        <w:t>Publication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date</w:t>
      </w:r>
      <w:proofErr w:type="spellEnd"/>
      <w:r>
        <w:rPr>
          <w:sz w:val="23"/>
          <w:szCs w:val="23"/>
        </w:rPr>
        <w:t xml:space="preserve">: 7 </w:t>
      </w:r>
      <w:proofErr w:type="spellStart"/>
      <w:r>
        <w:rPr>
          <w:sz w:val="23"/>
          <w:szCs w:val="23"/>
        </w:rPr>
        <w:t>January</w:t>
      </w:r>
      <w:proofErr w:type="spellEnd"/>
      <w:r>
        <w:rPr>
          <w:sz w:val="23"/>
          <w:szCs w:val="23"/>
        </w:rPr>
        <w:t xml:space="preserve"> 2014</w:t>
      </w:r>
      <w:r>
        <w:rPr>
          <w:rFonts w:ascii="Calibri" w:hAnsi="Calibri" w:cs="Calibri"/>
          <w:sz w:val="14"/>
          <w:szCs w:val="14"/>
        </w:rPr>
        <w:t xml:space="preserve"> </w:t>
      </w:r>
    </w:p>
    <w:p w:rsidR="00F16CD8" w:rsidRPr="00C91B26" w:rsidRDefault="000562B4" w:rsidP="00F16CD8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Deadline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topics</w:t>
      </w:r>
      <w:proofErr w:type="spellEnd"/>
      <w:r>
        <w:rPr>
          <w:sz w:val="23"/>
          <w:szCs w:val="23"/>
        </w:rPr>
        <w:t xml:space="preserve"> = 10 </w:t>
      </w:r>
      <w:proofErr w:type="spellStart"/>
      <w:r>
        <w:rPr>
          <w:sz w:val="23"/>
          <w:szCs w:val="23"/>
        </w:rPr>
        <w:t>April</w:t>
      </w:r>
      <w:proofErr w:type="spellEnd"/>
      <w:r>
        <w:rPr>
          <w:sz w:val="23"/>
          <w:szCs w:val="23"/>
        </w:rPr>
        <w:t xml:space="preserve"> 2014 </w:t>
      </w:r>
      <w:proofErr w:type="spellStart"/>
      <w:r>
        <w:rPr>
          <w:sz w:val="23"/>
          <w:szCs w:val="23"/>
        </w:rPr>
        <w:t>at</w:t>
      </w:r>
      <w:proofErr w:type="spellEnd"/>
      <w:r>
        <w:rPr>
          <w:sz w:val="23"/>
          <w:szCs w:val="23"/>
        </w:rPr>
        <w:t xml:space="preserve"> 17.00.00 </w:t>
      </w:r>
      <w:proofErr w:type="spellStart"/>
      <w:r>
        <w:rPr>
          <w:sz w:val="23"/>
          <w:szCs w:val="23"/>
        </w:rPr>
        <w:t>Brussels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time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following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dates</w:t>
      </w:r>
      <w:proofErr w:type="spellEnd"/>
    </w:p>
    <w:sectPr w:rsidR="00F16CD8" w:rsidRPr="00C91B26" w:rsidSect="00477DE4">
      <w:pgSz w:w="11906" w:h="16838"/>
      <w:pgMar w:top="1276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64"/>
    <w:rsid w:val="00031576"/>
    <w:rsid w:val="00032C1B"/>
    <w:rsid w:val="000562B4"/>
    <w:rsid w:val="00083364"/>
    <w:rsid w:val="00235E1E"/>
    <w:rsid w:val="00276C16"/>
    <w:rsid w:val="002F3FB2"/>
    <w:rsid w:val="002F7EBC"/>
    <w:rsid w:val="00477DE4"/>
    <w:rsid w:val="005F47F4"/>
    <w:rsid w:val="006B14EA"/>
    <w:rsid w:val="006D69C2"/>
    <w:rsid w:val="00735116"/>
    <w:rsid w:val="00810A75"/>
    <w:rsid w:val="00AC4830"/>
    <w:rsid w:val="00BA71FE"/>
    <w:rsid w:val="00BF1330"/>
    <w:rsid w:val="00C20581"/>
    <w:rsid w:val="00C91B26"/>
    <w:rsid w:val="00CE1AFD"/>
    <w:rsid w:val="00CF0C52"/>
    <w:rsid w:val="00D26C64"/>
    <w:rsid w:val="00D9068F"/>
    <w:rsid w:val="00DD5347"/>
    <w:rsid w:val="00EF4E59"/>
    <w:rsid w:val="00F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21</cp:revision>
  <dcterms:created xsi:type="dcterms:W3CDTF">2014-04-14T08:52:00Z</dcterms:created>
  <dcterms:modified xsi:type="dcterms:W3CDTF">2014-04-15T08:16:00Z</dcterms:modified>
</cp:coreProperties>
</file>