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F2644E" w14:paraId="4AA9FF9B" w14:textId="77777777" w:rsidTr="0062294A">
        <w:trPr>
          <w:trHeight w:val="283"/>
        </w:trPr>
        <w:tc>
          <w:tcPr>
            <w:tcW w:w="8476" w:type="dxa"/>
            <w:gridSpan w:val="4"/>
            <w:shd w:val="clear" w:color="auto" w:fill="A6A6A6" w:themeFill="background1" w:themeFillShade="A6"/>
          </w:tcPr>
          <w:p w14:paraId="5D240A3F" w14:textId="77777777" w:rsidR="00F2644E" w:rsidRPr="00BC1966" w:rsidRDefault="00F2644E" w:rsidP="00F2644E">
            <w:pPr>
              <w:jc w:val="center"/>
              <w:rPr>
                <w:b/>
                <w:sz w:val="32"/>
                <w:szCs w:val="32"/>
              </w:rPr>
            </w:pPr>
            <w:r w:rsidRPr="00BC1966">
              <w:rPr>
                <w:b/>
                <w:sz w:val="32"/>
                <w:szCs w:val="32"/>
              </w:rPr>
              <w:t>General Information</w:t>
            </w:r>
          </w:p>
        </w:tc>
      </w:tr>
      <w:tr w:rsidR="00F2644E" w14:paraId="671DBD89" w14:textId="77777777" w:rsidTr="0062294A">
        <w:trPr>
          <w:trHeight w:val="501"/>
        </w:trPr>
        <w:tc>
          <w:tcPr>
            <w:tcW w:w="2118" w:type="dxa"/>
            <w:vMerge w:val="restart"/>
          </w:tcPr>
          <w:p w14:paraId="76BFCCA6" w14:textId="77777777" w:rsidR="00F2644E" w:rsidRPr="00F95A32" w:rsidRDefault="00F2644E" w:rsidP="00F2644E">
            <w:pPr>
              <w:rPr>
                <w:b/>
              </w:rPr>
            </w:pPr>
            <w:r w:rsidRPr="00F95A32">
              <w:rPr>
                <w:b/>
              </w:rPr>
              <w:t>Course name</w:t>
            </w:r>
          </w:p>
        </w:tc>
        <w:tc>
          <w:tcPr>
            <w:tcW w:w="2980" w:type="dxa"/>
            <w:vMerge w:val="restart"/>
          </w:tcPr>
          <w:p w14:paraId="371AF95C" w14:textId="77777777" w:rsidR="00F2644E" w:rsidRPr="00351ACC" w:rsidRDefault="00F2644E" w:rsidP="00F2644E">
            <w:pPr>
              <w:rPr>
                <w:b/>
                <w:lang w:val="en-US"/>
              </w:rPr>
            </w:pPr>
            <w:bookmarkStart w:id="0" w:name="_GoBack"/>
            <w:r w:rsidRPr="00351ACC">
              <w:rPr>
                <w:b/>
                <w:lang w:val="en-US"/>
              </w:rPr>
              <w:t xml:space="preserve">Gender Studies </w:t>
            </w:r>
          </w:p>
          <w:bookmarkEnd w:id="0"/>
          <w:p w14:paraId="20DD1E68" w14:textId="77777777" w:rsidR="00F2644E" w:rsidRPr="00F95A32" w:rsidRDefault="00F2644E" w:rsidP="00F2644E">
            <w:pPr>
              <w:rPr>
                <w:b/>
              </w:rPr>
            </w:pPr>
          </w:p>
        </w:tc>
        <w:tc>
          <w:tcPr>
            <w:tcW w:w="1257" w:type="dxa"/>
          </w:tcPr>
          <w:p w14:paraId="5DE44968" w14:textId="77777777" w:rsidR="00F2644E" w:rsidRPr="00F95A32" w:rsidRDefault="00F2644E" w:rsidP="00F2644E">
            <w:pPr>
              <w:rPr>
                <w:b/>
              </w:rPr>
            </w:pPr>
            <w:r w:rsidRPr="00F95A32">
              <w:rPr>
                <w:b/>
              </w:rPr>
              <w:t>ECTS Credits</w:t>
            </w:r>
          </w:p>
        </w:tc>
        <w:tc>
          <w:tcPr>
            <w:tcW w:w="2121" w:type="dxa"/>
          </w:tcPr>
          <w:p w14:paraId="19E0FB84" w14:textId="77777777" w:rsidR="00F2644E" w:rsidRPr="00F95A32" w:rsidRDefault="00F2644E" w:rsidP="00F2644E">
            <w:pPr>
              <w:rPr>
                <w:b/>
              </w:rPr>
            </w:pPr>
            <w:r>
              <w:rPr>
                <w:b/>
              </w:rPr>
              <w:t>3</w:t>
            </w:r>
          </w:p>
        </w:tc>
      </w:tr>
      <w:tr w:rsidR="00F2644E" w14:paraId="7F9C2A21" w14:textId="77777777" w:rsidTr="0062294A">
        <w:trPr>
          <w:trHeight w:val="501"/>
        </w:trPr>
        <w:tc>
          <w:tcPr>
            <w:tcW w:w="2118" w:type="dxa"/>
            <w:vMerge/>
          </w:tcPr>
          <w:p w14:paraId="7AFD0EA7" w14:textId="77777777" w:rsidR="00F2644E" w:rsidRPr="00F95A32" w:rsidRDefault="00F2644E" w:rsidP="00F2644E">
            <w:pPr>
              <w:rPr>
                <w:b/>
              </w:rPr>
            </w:pPr>
          </w:p>
        </w:tc>
        <w:tc>
          <w:tcPr>
            <w:tcW w:w="2980" w:type="dxa"/>
            <w:vMerge/>
          </w:tcPr>
          <w:p w14:paraId="59280D5C" w14:textId="77777777" w:rsidR="00F2644E" w:rsidRPr="00F95A32" w:rsidRDefault="00F2644E" w:rsidP="00F2644E">
            <w:pPr>
              <w:rPr>
                <w:b/>
              </w:rPr>
            </w:pPr>
          </w:p>
        </w:tc>
        <w:tc>
          <w:tcPr>
            <w:tcW w:w="1257" w:type="dxa"/>
          </w:tcPr>
          <w:p w14:paraId="70956374" w14:textId="77777777" w:rsidR="00F2644E" w:rsidRPr="00F95A32" w:rsidRDefault="00F2644E" w:rsidP="00F2644E">
            <w:pPr>
              <w:rPr>
                <w:b/>
              </w:rPr>
            </w:pPr>
            <w:r w:rsidRPr="00F95A32">
              <w:rPr>
                <w:b/>
              </w:rPr>
              <w:t>Semester</w:t>
            </w:r>
          </w:p>
        </w:tc>
        <w:tc>
          <w:tcPr>
            <w:tcW w:w="2121" w:type="dxa"/>
          </w:tcPr>
          <w:p w14:paraId="2E153B99" w14:textId="77777777" w:rsidR="00F2644E" w:rsidRPr="00F95A32" w:rsidRDefault="00F2644E" w:rsidP="00F2644E">
            <w:pPr>
              <w:rPr>
                <w:b/>
              </w:rPr>
            </w:pPr>
            <w:r>
              <w:rPr>
                <w:b/>
              </w:rPr>
              <w:t>winter</w:t>
            </w:r>
          </w:p>
        </w:tc>
      </w:tr>
      <w:tr w:rsidR="00F2644E" w14:paraId="6D212DC0" w14:textId="77777777" w:rsidTr="0062294A">
        <w:trPr>
          <w:trHeight w:val="231"/>
        </w:trPr>
        <w:tc>
          <w:tcPr>
            <w:tcW w:w="8476" w:type="dxa"/>
            <w:gridSpan w:val="4"/>
          </w:tcPr>
          <w:p w14:paraId="2509341E" w14:textId="77777777" w:rsidR="00F2644E" w:rsidRDefault="00F2644E" w:rsidP="00F2644E"/>
        </w:tc>
      </w:tr>
      <w:tr w:rsidR="00F2644E" w14:paraId="69C50C49" w14:textId="77777777" w:rsidTr="0062294A">
        <w:trPr>
          <w:trHeight w:val="390"/>
        </w:trPr>
        <w:tc>
          <w:tcPr>
            <w:tcW w:w="8476" w:type="dxa"/>
            <w:gridSpan w:val="4"/>
            <w:shd w:val="clear" w:color="auto" w:fill="A6A6A6" w:themeFill="background1" w:themeFillShade="A6"/>
          </w:tcPr>
          <w:p w14:paraId="2CE50A33" w14:textId="77777777" w:rsidR="00F2644E" w:rsidRPr="00BC1966" w:rsidRDefault="00F2644E" w:rsidP="00F2644E">
            <w:pPr>
              <w:jc w:val="center"/>
              <w:rPr>
                <w:b/>
                <w:sz w:val="32"/>
                <w:szCs w:val="32"/>
              </w:rPr>
            </w:pPr>
            <w:r w:rsidRPr="00BC1966">
              <w:rPr>
                <w:b/>
                <w:sz w:val="32"/>
                <w:szCs w:val="32"/>
              </w:rPr>
              <w:t>Aims</w:t>
            </w:r>
          </w:p>
        </w:tc>
      </w:tr>
      <w:tr w:rsidR="00F2644E" w14:paraId="74EB81FA" w14:textId="77777777" w:rsidTr="0062294A">
        <w:trPr>
          <w:trHeight w:val="1399"/>
        </w:trPr>
        <w:tc>
          <w:tcPr>
            <w:tcW w:w="8476" w:type="dxa"/>
            <w:gridSpan w:val="4"/>
          </w:tcPr>
          <w:p w14:paraId="47752A7B" w14:textId="77777777" w:rsidR="00F2644E" w:rsidRPr="00BC1966" w:rsidRDefault="00F2644E" w:rsidP="00F2644E">
            <w:pPr>
              <w:tabs>
                <w:tab w:val="left" w:pos="6390"/>
              </w:tabs>
            </w:pPr>
            <w:r w:rsidRPr="00F738B5">
              <w:rPr>
                <w:lang w:val="en-US"/>
              </w:rPr>
              <w:t>This is a graduate course designed to examine basic issues in contemporary gender studies. Student will learn about different concepts of gender identities as well as key concepts of feminism and gender. Furthermore, students will come across basic concepts of queer theory. This course will also examine the interconnectedness of gender and law, religion and contemporary culture.</w:t>
            </w:r>
          </w:p>
        </w:tc>
      </w:tr>
      <w:tr w:rsidR="00F2644E" w14:paraId="64A8168C" w14:textId="77777777" w:rsidTr="0062294A">
        <w:trPr>
          <w:trHeight w:val="278"/>
        </w:trPr>
        <w:tc>
          <w:tcPr>
            <w:tcW w:w="8476" w:type="dxa"/>
            <w:gridSpan w:val="4"/>
            <w:shd w:val="clear" w:color="auto" w:fill="A6A6A6" w:themeFill="background1" w:themeFillShade="A6"/>
          </w:tcPr>
          <w:p w14:paraId="09E65719" w14:textId="77777777" w:rsidR="00F2644E" w:rsidRPr="00BC1966" w:rsidRDefault="00F2644E" w:rsidP="00F2644E">
            <w:pPr>
              <w:jc w:val="center"/>
              <w:rPr>
                <w:b/>
                <w:sz w:val="32"/>
                <w:szCs w:val="32"/>
              </w:rPr>
            </w:pPr>
            <w:r w:rsidRPr="00BC1966">
              <w:rPr>
                <w:b/>
                <w:sz w:val="32"/>
                <w:szCs w:val="32"/>
              </w:rPr>
              <w:t>Contents</w:t>
            </w:r>
          </w:p>
        </w:tc>
      </w:tr>
      <w:tr w:rsidR="00F2644E" w14:paraId="4A365C03" w14:textId="77777777" w:rsidTr="0062294A">
        <w:trPr>
          <w:trHeight w:val="2150"/>
        </w:trPr>
        <w:tc>
          <w:tcPr>
            <w:tcW w:w="8476" w:type="dxa"/>
            <w:gridSpan w:val="4"/>
          </w:tcPr>
          <w:p w14:paraId="1F75E91B" w14:textId="77777777" w:rsidR="00F2644E" w:rsidRDefault="00F2644E" w:rsidP="00F2644E">
            <w:pPr>
              <w:rPr>
                <w:lang w:val="en-US"/>
              </w:rPr>
            </w:pPr>
            <w:r w:rsidRPr="00F738B5">
              <w:rPr>
                <w:lang w:val="en-US"/>
              </w:rPr>
              <w:t xml:space="preserve">Week1 Introductory lesson </w:t>
            </w:r>
          </w:p>
          <w:p w14:paraId="097C6809" w14:textId="77777777" w:rsidR="00F2644E" w:rsidRDefault="00F2644E" w:rsidP="00F2644E">
            <w:pPr>
              <w:rPr>
                <w:lang w:val="en-US"/>
              </w:rPr>
            </w:pPr>
            <w:r w:rsidRPr="00F738B5">
              <w:rPr>
                <w:lang w:val="en-US"/>
              </w:rPr>
              <w:t xml:space="preserve">Week2 Key concepts </w:t>
            </w:r>
          </w:p>
          <w:p w14:paraId="04AFCFBB" w14:textId="77777777" w:rsidR="00F2644E" w:rsidRDefault="00F2644E" w:rsidP="00F2644E">
            <w:pPr>
              <w:rPr>
                <w:lang w:val="en-US"/>
              </w:rPr>
            </w:pPr>
            <w:r w:rsidRPr="00F738B5">
              <w:rPr>
                <w:lang w:val="en-US"/>
              </w:rPr>
              <w:t xml:space="preserve">Week3 Feminisms </w:t>
            </w:r>
          </w:p>
          <w:p w14:paraId="67C0DDB9" w14:textId="77777777" w:rsidR="00F2644E" w:rsidRDefault="00F2644E" w:rsidP="00F2644E">
            <w:pPr>
              <w:rPr>
                <w:lang w:val="en-US"/>
              </w:rPr>
            </w:pPr>
            <w:r w:rsidRPr="00F738B5">
              <w:rPr>
                <w:lang w:val="en-US"/>
              </w:rPr>
              <w:t xml:space="preserve">Week4 Gender Identities and Queer theories </w:t>
            </w:r>
          </w:p>
          <w:p w14:paraId="6D06E329" w14:textId="77777777" w:rsidR="00F2644E" w:rsidRPr="00F738B5" w:rsidRDefault="00F2644E" w:rsidP="00F2644E">
            <w:pPr>
              <w:rPr>
                <w:lang w:val="en-US"/>
              </w:rPr>
            </w:pPr>
            <w:r w:rsidRPr="00F738B5">
              <w:rPr>
                <w:lang w:val="en-US"/>
              </w:rPr>
              <w:t xml:space="preserve">Week5 Modern Femininities Week6 </w:t>
            </w:r>
          </w:p>
          <w:p w14:paraId="3C459DBF" w14:textId="77777777" w:rsidR="00F2644E" w:rsidRDefault="00F2644E" w:rsidP="00F2644E">
            <w:pPr>
              <w:rPr>
                <w:lang w:val="en-US"/>
              </w:rPr>
            </w:pPr>
            <w:r w:rsidRPr="00F738B5">
              <w:rPr>
                <w:lang w:val="en-US"/>
              </w:rPr>
              <w:t xml:space="preserve">Modern Masculinities </w:t>
            </w:r>
          </w:p>
          <w:p w14:paraId="55C179FC" w14:textId="77777777" w:rsidR="00F2644E" w:rsidRDefault="00F2644E" w:rsidP="00F2644E">
            <w:pPr>
              <w:rPr>
                <w:lang w:val="en-US"/>
              </w:rPr>
            </w:pPr>
            <w:r w:rsidRPr="00F738B5">
              <w:rPr>
                <w:lang w:val="en-US"/>
              </w:rPr>
              <w:t>Week7 Tutorials </w:t>
            </w:r>
          </w:p>
          <w:p w14:paraId="7A718AF7" w14:textId="77777777" w:rsidR="00F2644E" w:rsidRDefault="00F2644E" w:rsidP="00F2644E">
            <w:pPr>
              <w:rPr>
                <w:lang w:val="en-US"/>
              </w:rPr>
            </w:pPr>
            <w:r w:rsidRPr="00F738B5">
              <w:rPr>
                <w:lang w:val="en-US"/>
              </w:rPr>
              <w:t>Week8 Gender and Religion </w:t>
            </w:r>
          </w:p>
          <w:p w14:paraId="70ED1E70" w14:textId="77777777" w:rsidR="00F2644E" w:rsidRDefault="00F2644E" w:rsidP="00F2644E">
            <w:pPr>
              <w:rPr>
                <w:lang w:val="en-US"/>
              </w:rPr>
            </w:pPr>
            <w:r w:rsidRPr="00F738B5">
              <w:rPr>
                <w:lang w:val="en-US"/>
              </w:rPr>
              <w:t xml:space="preserve">Week9-10 Gender and Contemporary Culture </w:t>
            </w:r>
          </w:p>
          <w:p w14:paraId="53B5A081" w14:textId="77777777" w:rsidR="00F2644E" w:rsidRDefault="00F2644E" w:rsidP="00F2644E">
            <w:pPr>
              <w:rPr>
                <w:lang w:val="en-US"/>
              </w:rPr>
            </w:pPr>
            <w:r w:rsidRPr="00F738B5">
              <w:rPr>
                <w:lang w:val="en-US"/>
              </w:rPr>
              <w:t>Week 11 </w:t>
            </w:r>
            <w:proofErr w:type="spellStart"/>
            <w:r w:rsidRPr="00F738B5">
              <w:rPr>
                <w:lang w:val="en-US"/>
              </w:rPr>
              <w:t>Sexualization</w:t>
            </w:r>
            <w:proofErr w:type="spellEnd"/>
            <w:r w:rsidRPr="00F738B5">
              <w:rPr>
                <w:lang w:val="en-US"/>
              </w:rPr>
              <w:t xml:space="preserve"> and Pornography </w:t>
            </w:r>
          </w:p>
          <w:p w14:paraId="79DB4B67" w14:textId="77777777" w:rsidR="00F2644E" w:rsidRDefault="00F2644E" w:rsidP="00F2644E">
            <w:pPr>
              <w:rPr>
                <w:lang w:val="en-US"/>
              </w:rPr>
            </w:pPr>
            <w:r w:rsidRPr="00F738B5">
              <w:rPr>
                <w:lang w:val="en-US"/>
              </w:rPr>
              <w:t>Week 12 Final Discussion </w:t>
            </w:r>
          </w:p>
          <w:p w14:paraId="6CE8A6C0" w14:textId="77777777" w:rsidR="00F2644E" w:rsidRDefault="00F2644E" w:rsidP="00F2644E">
            <w:pPr>
              <w:rPr>
                <w:lang w:val="en-US"/>
              </w:rPr>
            </w:pPr>
            <w:r w:rsidRPr="00F738B5">
              <w:rPr>
                <w:lang w:val="en-US"/>
              </w:rPr>
              <w:t>Week 13 Tutorials </w:t>
            </w:r>
          </w:p>
          <w:p w14:paraId="3452092A" w14:textId="77777777" w:rsidR="00F2644E" w:rsidRPr="0074555E" w:rsidRDefault="00F2644E" w:rsidP="00F2644E">
            <w:pPr>
              <w:rPr>
                <w:lang w:val="en-US"/>
              </w:rPr>
            </w:pPr>
            <w:r w:rsidRPr="00F738B5">
              <w:rPr>
                <w:lang w:val="en-US"/>
              </w:rPr>
              <w:t xml:space="preserve">Week 14 Tutorials </w:t>
            </w:r>
          </w:p>
        </w:tc>
      </w:tr>
      <w:tr w:rsidR="00F2644E" w14:paraId="70D38C0E" w14:textId="77777777" w:rsidTr="0062294A">
        <w:trPr>
          <w:trHeight w:val="270"/>
        </w:trPr>
        <w:tc>
          <w:tcPr>
            <w:tcW w:w="8476" w:type="dxa"/>
            <w:gridSpan w:val="4"/>
            <w:shd w:val="clear" w:color="auto" w:fill="A6A6A6" w:themeFill="background1" w:themeFillShade="A6"/>
          </w:tcPr>
          <w:p w14:paraId="2274AB12" w14:textId="77777777" w:rsidR="00F2644E" w:rsidRPr="00BC1966" w:rsidRDefault="00F2644E" w:rsidP="00F2644E">
            <w:pPr>
              <w:jc w:val="center"/>
              <w:rPr>
                <w:b/>
                <w:sz w:val="32"/>
                <w:szCs w:val="32"/>
              </w:rPr>
            </w:pPr>
            <w:r w:rsidRPr="00BC1966">
              <w:rPr>
                <w:b/>
                <w:sz w:val="32"/>
                <w:szCs w:val="32"/>
              </w:rPr>
              <w:t>Evaluation</w:t>
            </w:r>
          </w:p>
        </w:tc>
      </w:tr>
      <w:tr w:rsidR="00F2644E" w14:paraId="0C8D245D" w14:textId="77777777" w:rsidTr="0062294A">
        <w:trPr>
          <w:trHeight w:val="1110"/>
        </w:trPr>
        <w:tc>
          <w:tcPr>
            <w:tcW w:w="8476" w:type="dxa"/>
            <w:gridSpan w:val="4"/>
          </w:tcPr>
          <w:p w14:paraId="7EB0EFF7" w14:textId="77777777" w:rsidR="00F2644E" w:rsidRDefault="00F2644E" w:rsidP="00F2644E">
            <w:pPr>
              <w:rPr>
                <w:lang w:val="en-US"/>
              </w:rPr>
            </w:pPr>
            <w:r w:rsidRPr="00F738B5">
              <w:rPr>
                <w:lang w:val="en-US"/>
              </w:rPr>
              <w:t xml:space="preserve">Attendance - students are expected to attend each class according to the schedule. No transfers among the groups are allowed. Students are allowed to miss two classes at the most. Should s/ he miss three or more classes, s/he will not receive credits for the course. The student must be on time for class or s/he will be marked as absent. </w:t>
            </w:r>
          </w:p>
          <w:p w14:paraId="64F2D2BC" w14:textId="77777777" w:rsidR="00F2644E" w:rsidRPr="00F738B5" w:rsidRDefault="00F2644E" w:rsidP="00F2644E">
            <w:pPr>
              <w:rPr>
                <w:lang w:val="en-US"/>
              </w:rPr>
            </w:pPr>
          </w:p>
          <w:p w14:paraId="528B67D0" w14:textId="77777777" w:rsidR="00F2644E" w:rsidRDefault="00F2644E" w:rsidP="00F2644E">
            <w:pPr>
              <w:rPr>
                <w:lang w:val="en-US"/>
              </w:rPr>
            </w:pPr>
            <w:r w:rsidRPr="00F738B5">
              <w:rPr>
                <w:lang w:val="en-US"/>
              </w:rPr>
              <w:t>Class participation – 20% Research paper – 30% (deadline for the paper: Week 10) Final discussion – 50% The final grade for the course will be based on the following grading scale</w:t>
            </w:r>
            <w:proofErr w:type="gramStart"/>
            <w:r w:rsidRPr="00F738B5">
              <w:rPr>
                <w:lang w:val="en-US"/>
              </w:rPr>
              <w:t>: </w:t>
            </w:r>
            <w:proofErr w:type="gramEnd"/>
            <w:r w:rsidRPr="00F738B5">
              <w:rPr>
                <w:lang w:val="en-US"/>
              </w:rPr>
              <w:t>A100-93% B92-86% C85-78% D77-72% E71-65% FX 64% and less </w:t>
            </w:r>
          </w:p>
          <w:p w14:paraId="491A7785" w14:textId="77777777" w:rsidR="00F2644E" w:rsidRDefault="00F2644E" w:rsidP="00F2644E">
            <w:pPr>
              <w:rPr>
                <w:lang w:val="en-US"/>
              </w:rPr>
            </w:pPr>
          </w:p>
          <w:p w14:paraId="176804CF" w14:textId="77777777" w:rsidR="00F2644E" w:rsidRDefault="00F2644E" w:rsidP="00F2644E">
            <w:r w:rsidRPr="00F738B5">
              <w:rPr>
                <w:lang w:val="en-US"/>
              </w:rPr>
              <w:t>Cheating and/or plagiarism will result in an automatic FX for the course and a memo to the Head of the Department explaining why the FX was awarded.</w:t>
            </w:r>
          </w:p>
        </w:tc>
      </w:tr>
      <w:tr w:rsidR="00F2644E" w14:paraId="50336FD7" w14:textId="77777777" w:rsidTr="0062294A">
        <w:trPr>
          <w:trHeight w:val="290"/>
        </w:trPr>
        <w:tc>
          <w:tcPr>
            <w:tcW w:w="8476" w:type="dxa"/>
            <w:gridSpan w:val="4"/>
            <w:shd w:val="clear" w:color="auto" w:fill="A6A6A6" w:themeFill="background1" w:themeFillShade="A6"/>
          </w:tcPr>
          <w:p w14:paraId="1DB8A8E1" w14:textId="77777777" w:rsidR="00F2644E" w:rsidRPr="00BC1966" w:rsidRDefault="00F2644E" w:rsidP="00F2644E">
            <w:pPr>
              <w:jc w:val="center"/>
              <w:rPr>
                <w:b/>
                <w:sz w:val="32"/>
                <w:szCs w:val="32"/>
              </w:rPr>
            </w:pPr>
            <w:r w:rsidRPr="00BC1966">
              <w:rPr>
                <w:b/>
                <w:sz w:val="32"/>
                <w:szCs w:val="32"/>
              </w:rPr>
              <w:t>Bibliography</w:t>
            </w:r>
          </w:p>
        </w:tc>
      </w:tr>
      <w:tr w:rsidR="00F2644E" w14:paraId="72052000" w14:textId="77777777" w:rsidTr="0062294A">
        <w:trPr>
          <w:trHeight w:val="1003"/>
        </w:trPr>
        <w:tc>
          <w:tcPr>
            <w:tcW w:w="8476" w:type="dxa"/>
            <w:gridSpan w:val="4"/>
          </w:tcPr>
          <w:p w14:paraId="60567C78" w14:textId="77777777" w:rsidR="00F2644E" w:rsidRDefault="00F2644E" w:rsidP="00F2644E">
            <w:pPr>
              <w:rPr>
                <w:lang w:val="en-US"/>
              </w:rPr>
            </w:pPr>
            <w:r w:rsidRPr="00F738B5">
              <w:rPr>
                <w:lang w:val="en-US"/>
              </w:rPr>
              <w:t>Browne, J. ed. (2007). The Future of Gender. Cambridge: Cambridge University Press</w:t>
            </w:r>
            <w:proofErr w:type="gramStart"/>
            <w:r w:rsidRPr="00F738B5">
              <w:rPr>
                <w:lang w:val="en-US"/>
              </w:rPr>
              <w:t>. </w:t>
            </w:r>
            <w:proofErr w:type="gramEnd"/>
          </w:p>
          <w:p w14:paraId="70F200FA" w14:textId="77777777" w:rsidR="00F2644E" w:rsidRDefault="00F2644E" w:rsidP="00F2644E">
            <w:pPr>
              <w:rPr>
                <w:lang w:val="en-US"/>
              </w:rPr>
            </w:pPr>
            <w:r w:rsidRPr="00F738B5">
              <w:rPr>
                <w:lang w:val="en-US"/>
              </w:rPr>
              <w:t xml:space="preserve">Butler, J. (2002). Gender Trouble: Feminism and the Subversion of Identity. New York: </w:t>
            </w:r>
            <w:proofErr w:type="spellStart"/>
            <w:r w:rsidRPr="00F738B5">
              <w:rPr>
                <w:lang w:val="en-US"/>
              </w:rPr>
              <w:t>Routledge</w:t>
            </w:r>
            <w:proofErr w:type="spellEnd"/>
            <w:proofErr w:type="gramStart"/>
            <w:r w:rsidRPr="00F738B5">
              <w:rPr>
                <w:lang w:val="en-US"/>
              </w:rPr>
              <w:t>. </w:t>
            </w:r>
            <w:proofErr w:type="gramEnd"/>
          </w:p>
          <w:p w14:paraId="0F1C5A8E" w14:textId="77777777" w:rsidR="00F2644E" w:rsidRDefault="00F2644E" w:rsidP="00F2644E">
            <w:pPr>
              <w:rPr>
                <w:lang w:val="en-US"/>
              </w:rPr>
            </w:pPr>
            <w:r w:rsidRPr="00F738B5">
              <w:rPr>
                <w:lang w:val="en-US"/>
              </w:rPr>
              <w:t xml:space="preserve">Mansfield, N. (2000). Subjectivity: Theories of the Self from Freud to </w:t>
            </w:r>
            <w:proofErr w:type="spellStart"/>
            <w:r w:rsidRPr="00F738B5">
              <w:rPr>
                <w:lang w:val="en-US"/>
              </w:rPr>
              <w:t>Haraway</w:t>
            </w:r>
            <w:proofErr w:type="spellEnd"/>
            <w:r w:rsidRPr="00F738B5">
              <w:rPr>
                <w:lang w:val="en-US"/>
              </w:rPr>
              <w:t xml:space="preserve">. Allen &amp; </w:t>
            </w:r>
            <w:proofErr w:type="spellStart"/>
            <w:r w:rsidRPr="00F738B5">
              <w:rPr>
                <w:lang w:val="en-US"/>
              </w:rPr>
              <w:t>Unwin</w:t>
            </w:r>
            <w:proofErr w:type="spellEnd"/>
            <w:r w:rsidRPr="00F738B5">
              <w:rPr>
                <w:lang w:val="en-US"/>
              </w:rPr>
              <w:t xml:space="preserve">. </w:t>
            </w:r>
          </w:p>
          <w:p w14:paraId="4DCAA412" w14:textId="77777777" w:rsidR="00F2644E" w:rsidRDefault="00F2644E" w:rsidP="00F2644E">
            <w:proofErr w:type="spellStart"/>
            <w:r w:rsidRPr="00F738B5">
              <w:rPr>
                <w:lang w:val="en-US"/>
              </w:rPr>
              <w:t>Pilcher</w:t>
            </w:r>
            <w:proofErr w:type="spellEnd"/>
            <w:r w:rsidRPr="00F738B5">
              <w:rPr>
                <w:lang w:val="en-US"/>
              </w:rPr>
              <w:t xml:space="preserve">, J. &amp; </w:t>
            </w:r>
            <w:proofErr w:type="spellStart"/>
            <w:r w:rsidRPr="00F738B5">
              <w:rPr>
                <w:lang w:val="en-US"/>
              </w:rPr>
              <w:t>Whelehan</w:t>
            </w:r>
            <w:proofErr w:type="spellEnd"/>
            <w:r w:rsidRPr="00F738B5">
              <w:rPr>
                <w:lang w:val="en-US"/>
              </w:rPr>
              <w:t>, I. (2004). Fifty Key Concepts in Gender Studies. London: Sage Publications Ltd.</w:t>
            </w:r>
          </w:p>
        </w:tc>
      </w:tr>
    </w:tbl>
    <w:p w14:paraId="2226F76A" w14:textId="3DF11A46" w:rsidR="00351ACC" w:rsidRPr="00F2644E" w:rsidRDefault="00351ACC" w:rsidP="00F2644E"/>
    <w:sectPr w:rsidR="00351ACC" w:rsidRPr="00F2644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927B5" w14:textId="77777777" w:rsidR="00601FE6" w:rsidRDefault="00601FE6" w:rsidP="00BC1966">
      <w:pPr>
        <w:spacing w:after="0" w:line="240" w:lineRule="auto"/>
      </w:pPr>
      <w:r>
        <w:separator/>
      </w:r>
    </w:p>
  </w:endnote>
  <w:endnote w:type="continuationSeparator" w:id="0">
    <w:p w14:paraId="3009D867" w14:textId="77777777" w:rsidR="00601FE6" w:rsidRDefault="00601FE6"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188D7" w14:textId="77777777" w:rsidR="00601FE6" w:rsidRDefault="00601FE6" w:rsidP="00BC1966">
      <w:pPr>
        <w:spacing w:after="0" w:line="240" w:lineRule="auto"/>
      </w:pPr>
      <w:r>
        <w:separator/>
      </w:r>
    </w:p>
  </w:footnote>
  <w:footnote w:type="continuationSeparator" w:id="0">
    <w:p w14:paraId="7E02214A" w14:textId="77777777" w:rsidR="00601FE6" w:rsidRDefault="00601FE6"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D086" w14:textId="77777777" w:rsidR="00601FE6" w:rsidRDefault="00601FE6">
    <w:pPr>
      <w:pStyle w:val="Header"/>
    </w:pPr>
  </w:p>
  <w:p w14:paraId="1AC576F4" w14:textId="77777777" w:rsidR="00601FE6" w:rsidRDefault="00601FE6">
    <w:pPr>
      <w:pStyle w:val="Header"/>
    </w:pPr>
  </w:p>
  <w:p w14:paraId="2471330D" w14:textId="77777777" w:rsidR="00601FE6" w:rsidRDefault="00601FE6">
    <w:pPr>
      <w:pStyle w:val="Header"/>
    </w:pPr>
    <w:r w:rsidRPr="00BC1966">
      <w:rPr>
        <w:noProof/>
        <w:lang w:val="en-US"/>
      </w:rPr>
      <w:drawing>
        <wp:anchor distT="0" distB="0" distL="114300" distR="114300" simplePos="0" relativeHeight="251658240" behindDoc="1" locked="0" layoutInCell="1" allowOverlap="1" wp14:anchorId="5F232402" wp14:editId="62295C95">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043CF"/>
    <w:rsid w:val="00101D34"/>
    <w:rsid w:val="001E0205"/>
    <w:rsid w:val="001E6EBD"/>
    <w:rsid w:val="00232A4D"/>
    <w:rsid w:val="002A551C"/>
    <w:rsid w:val="002E6FAE"/>
    <w:rsid w:val="00346574"/>
    <w:rsid w:val="00351ACC"/>
    <w:rsid w:val="004920CC"/>
    <w:rsid w:val="004F3410"/>
    <w:rsid w:val="004F4EB0"/>
    <w:rsid w:val="004F6EF4"/>
    <w:rsid w:val="0051165B"/>
    <w:rsid w:val="00551A51"/>
    <w:rsid w:val="00554C17"/>
    <w:rsid w:val="005A039D"/>
    <w:rsid w:val="00601FE6"/>
    <w:rsid w:val="00637623"/>
    <w:rsid w:val="006F1954"/>
    <w:rsid w:val="00706508"/>
    <w:rsid w:val="0074555E"/>
    <w:rsid w:val="00767F4F"/>
    <w:rsid w:val="00773802"/>
    <w:rsid w:val="00773E44"/>
    <w:rsid w:val="0077683A"/>
    <w:rsid w:val="007B14E7"/>
    <w:rsid w:val="007E2A0D"/>
    <w:rsid w:val="008538B3"/>
    <w:rsid w:val="008548C3"/>
    <w:rsid w:val="00A336F7"/>
    <w:rsid w:val="00AF7F33"/>
    <w:rsid w:val="00BA354A"/>
    <w:rsid w:val="00BC1966"/>
    <w:rsid w:val="00CA5FDE"/>
    <w:rsid w:val="00CB1E9D"/>
    <w:rsid w:val="00CB2E4B"/>
    <w:rsid w:val="00CF05E2"/>
    <w:rsid w:val="00D22756"/>
    <w:rsid w:val="00D45A95"/>
    <w:rsid w:val="00D50502"/>
    <w:rsid w:val="00D717A1"/>
    <w:rsid w:val="00D828AD"/>
    <w:rsid w:val="00E53795"/>
    <w:rsid w:val="00F2644E"/>
    <w:rsid w:val="00F34025"/>
    <w:rsid w:val="00F53AB9"/>
    <w:rsid w:val="00F6485A"/>
    <w:rsid w:val="00F73235"/>
    <w:rsid w:val="00F738B5"/>
    <w:rsid w:val="00F930CB"/>
    <w:rsid w:val="00F95A3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1686</Characters>
  <Application>Microsoft Macintosh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2015-06-01T04:20:00Z</dcterms:created>
  <dcterms:modified xsi:type="dcterms:W3CDTF">2015-06-01T04:20:00Z</dcterms:modified>
</cp:coreProperties>
</file>