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9A14E4" w:rsidRPr="00726EE2" w14:paraId="564A8EE0" w14:textId="77777777" w:rsidTr="00B13C61">
        <w:trPr>
          <w:trHeight w:val="283"/>
        </w:trPr>
        <w:tc>
          <w:tcPr>
            <w:tcW w:w="8476" w:type="dxa"/>
            <w:gridSpan w:val="4"/>
            <w:shd w:val="clear" w:color="auto" w:fill="A6A6A6" w:themeFill="background1" w:themeFillShade="A6"/>
          </w:tcPr>
          <w:p w14:paraId="76C09CC1" w14:textId="77777777" w:rsidR="009A14E4" w:rsidRPr="00726EE2" w:rsidRDefault="009A14E4" w:rsidP="009A14E4">
            <w:pPr>
              <w:spacing w:after="160" w:line="259" w:lineRule="auto"/>
              <w:jc w:val="center"/>
              <w:rPr>
                <w:rFonts w:ascii="Calibri" w:hAnsi="Calibri"/>
                <w:b/>
                <w:sz w:val="32"/>
                <w:szCs w:val="32"/>
              </w:rPr>
            </w:pPr>
            <w:r w:rsidRPr="00726EE2">
              <w:rPr>
                <w:rFonts w:ascii="Calibri" w:hAnsi="Calibri"/>
                <w:b/>
                <w:sz w:val="32"/>
                <w:szCs w:val="32"/>
              </w:rPr>
              <w:t>General Information</w:t>
            </w:r>
          </w:p>
        </w:tc>
      </w:tr>
      <w:tr w:rsidR="009A14E4" w:rsidRPr="00726EE2" w14:paraId="17282758" w14:textId="77777777" w:rsidTr="00B13C61">
        <w:trPr>
          <w:trHeight w:val="501"/>
        </w:trPr>
        <w:tc>
          <w:tcPr>
            <w:tcW w:w="2118" w:type="dxa"/>
            <w:vMerge w:val="restart"/>
          </w:tcPr>
          <w:p w14:paraId="0557FD79" w14:textId="77777777" w:rsidR="009A14E4" w:rsidRPr="00726EE2" w:rsidRDefault="009A14E4" w:rsidP="009A14E4">
            <w:pPr>
              <w:spacing w:after="160" w:line="259" w:lineRule="auto"/>
              <w:rPr>
                <w:rFonts w:ascii="Calibri" w:hAnsi="Calibri"/>
                <w:b/>
              </w:rPr>
            </w:pPr>
            <w:r w:rsidRPr="00726EE2">
              <w:rPr>
                <w:rFonts w:ascii="Calibri" w:hAnsi="Calibri"/>
                <w:b/>
              </w:rPr>
              <w:t>Course name</w:t>
            </w:r>
          </w:p>
        </w:tc>
        <w:tc>
          <w:tcPr>
            <w:tcW w:w="2980" w:type="dxa"/>
            <w:vMerge w:val="restart"/>
          </w:tcPr>
          <w:p w14:paraId="1BA3B31F" w14:textId="77777777" w:rsidR="009A14E4" w:rsidRPr="00726EE2" w:rsidRDefault="009A14E4" w:rsidP="009A14E4">
            <w:pPr>
              <w:spacing w:after="160" w:line="259" w:lineRule="auto"/>
              <w:rPr>
                <w:rFonts w:ascii="Calibri" w:hAnsi="Calibri"/>
                <w:lang w:val="en-US"/>
              </w:rPr>
            </w:pPr>
            <w:bookmarkStart w:id="0" w:name="_GoBack"/>
            <w:r w:rsidRPr="00726EE2">
              <w:rPr>
                <w:rFonts w:ascii="Calibri" w:hAnsi="Calibri"/>
                <w:lang w:val="en-US"/>
              </w:rPr>
              <w:t xml:space="preserve">Gender and </w:t>
            </w:r>
            <w:r>
              <w:rPr>
                <w:rFonts w:ascii="Calibri" w:hAnsi="Calibri"/>
                <w:lang w:val="en-US"/>
              </w:rPr>
              <w:t>Media</w:t>
            </w:r>
          </w:p>
          <w:bookmarkEnd w:id="0"/>
          <w:p w14:paraId="721B6D86" w14:textId="77777777" w:rsidR="009A14E4" w:rsidRPr="00726EE2" w:rsidRDefault="009A14E4" w:rsidP="009A14E4">
            <w:pPr>
              <w:spacing w:after="160" w:line="259" w:lineRule="auto"/>
              <w:rPr>
                <w:rFonts w:ascii="Calibri" w:hAnsi="Calibri"/>
                <w:b/>
              </w:rPr>
            </w:pPr>
          </w:p>
        </w:tc>
        <w:tc>
          <w:tcPr>
            <w:tcW w:w="1257" w:type="dxa"/>
          </w:tcPr>
          <w:p w14:paraId="21458F8A" w14:textId="77777777" w:rsidR="009A14E4" w:rsidRPr="00726EE2" w:rsidRDefault="009A14E4" w:rsidP="009A14E4">
            <w:pPr>
              <w:spacing w:after="160" w:line="259" w:lineRule="auto"/>
              <w:rPr>
                <w:rFonts w:ascii="Calibri" w:hAnsi="Calibri"/>
                <w:b/>
              </w:rPr>
            </w:pPr>
            <w:r w:rsidRPr="00726EE2">
              <w:rPr>
                <w:rFonts w:ascii="Calibri" w:hAnsi="Calibri"/>
                <w:b/>
              </w:rPr>
              <w:t>ECTS Credits</w:t>
            </w:r>
          </w:p>
        </w:tc>
        <w:tc>
          <w:tcPr>
            <w:tcW w:w="2121" w:type="dxa"/>
          </w:tcPr>
          <w:p w14:paraId="04A05D4E" w14:textId="77777777" w:rsidR="009A14E4" w:rsidRPr="00726EE2" w:rsidRDefault="009A14E4" w:rsidP="009A14E4">
            <w:pPr>
              <w:spacing w:after="160" w:line="259" w:lineRule="auto"/>
              <w:rPr>
                <w:rFonts w:ascii="Calibri" w:hAnsi="Calibri"/>
                <w:b/>
              </w:rPr>
            </w:pPr>
            <w:r w:rsidRPr="00726EE2">
              <w:rPr>
                <w:rFonts w:ascii="Calibri" w:hAnsi="Calibri"/>
                <w:b/>
              </w:rPr>
              <w:t>5</w:t>
            </w:r>
          </w:p>
        </w:tc>
      </w:tr>
      <w:tr w:rsidR="009A14E4" w:rsidRPr="00726EE2" w14:paraId="6EAD1D8B" w14:textId="77777777" w:rsidTr="00B13C61">
        <w:trPr>
          <w:trHeight w:val="501"/>
        </w:trPr>
        <w:tc>
          <w:tcPr>
            <w:tcW w:w="2118" w:type="dxa"/>
            <w:vMerge/>
          </w:tcPr>
          <w:p w14:paraId="7A7A22AC" w14:textId="77777777" w:rsidR="009A14E4" w:rsidRPr="00726EE2" w:rsidRDefault="009A14E4" w:rsidP="009A14E4">
            <w:pPr>
              <w:spacing w:after="160" w:line="259" w:lineRule="auto"/>
              <w:rPr>
                <w:rFonts w:ascii="Calibri" w:hAnsi="Calibri"/>
                <w:b/>
              </w:rPr>
            </w:pPr>
          </w:p>
        </w:tc>
        <w:tc>
          <w:tcPr>
            <w:tcW w:w="2980" w:type="dxa"/>
            <w:vMerge/>
          </w:tcPr>
          <w:p w14:paraId="3A911A2B" w14:textId="77777777" w:rsidR="009A14E4" w:rsidRPr="00726EE2" w:rsidRDefault="009A14E4" w:rsidP="009A14E4">
            <w:pPr>
              <w:spacing w:after="160" w:line="259" w:lineRule="auto"/>
              <w:rPr>
                <w:rFonts w:ascii="Calibri" w:hAnsi="Calibri"/>
                <w:b/>
              </w:rPr>
            </w:pPr>
          </w:p>
        </w:tc>
        <w:tc>
          <w:tcPr>
            <w:tcW w:w="1257" w:type="dxa"/>
          </w:tcPr>
          <w:p w14:paraId="6BA5BCDC" w14:textId="77777777" w:rsidR="009A14E4" w:rsidRPr="00726EE2" w:rsidRDefault="009A14E4" w:rsidP="009A14E4">
            <w:pPr>
              <w:spacing w:after="160" w:line="259" w:lineRule="auto"/>
              <w:rPr>
                <w:rFonts w:ascii="Calibri" w:hAnsi="Calibri"/>
                <w:b/>
              </w:rPr>
            </w:pPr>
            <w:r w:rsidRPr="00726EE2">
              <w:rPr>
                <w:rFonts w:ascii="Calibri" w:hAnsi="Calibri"/>
                <w:b/>
              </w:rPr>
              <w:t>Semester</w:t>
            </w:r>
          </w:p>
        </w:tc>
        <w:tc>
          <w:tcPr>
            <w:tcW w:w="2121" w:type="dxa"/>
          </w:tcPr>
          <w:p w14:paraId="504B2A93" w14:textId="77777777" w:rsidR="009A14E4" w:rsidRPr="00726EE2" w:rsidRDefault="009A14E4" w:rsidP="009A14E4">
            <w:pPr>
              <w:spacing w:after="160" w:line="259" w:lineRule="auto"/>
              <w:rPr>
                <w:rFonts w:ascii="Calibri" w:hAnsi="Calibri"/>
                <w:b/>
              </w:rPr>
            </w:pPr>
            <w:r>
              <w:rPr>
                <w:rFonts w:ascii="Calibri" w:hAnsi="Calibri"/>
                <w:b/>
              </w:rPr>
              <w:t>winter</w:t>
            </w:r>
          </w:p>
        </w:tc>
      </w:tr>
      <w:tr w:rsidR="009A14E4" w:rsidRPr="00726EE2" w14:paraId="53248F03" w14:textId="77777777" w:rsidTr="00B13C61">
        <w:trPr>
          <w:trHeight w:val="231"/>
        </w:trPr>
        <w:tc>
          <w:tcPr>
            <w:tcW w:w="8476" w:type="dxa"/>
            <w:gridSpan w:val="4"/>
          </w:tcPr>
          <w:p w14:paraId="02535D07" w14:textId="77777777" w:rsidR="009A14E4" w:rsidRPr="00726EE2" w:rsidRDefault="009A14E4" w:rsidP="009A14E4">
            <w:pPr>
              <w:spacing w:after="160" w:line="259" w:lineRule="auto"/>
              <w:rPr>
                <w:rFonts w:ascii="Calibri" w:hAnsi="Calibri"/>
              </w:rPr>
            </w:pPr>
          </w:p>
        </w:tc>
      </w:tr>
      <w:tr w:rsidR="009A14E4" w:rsidRPr="00726EE2" w14:paraId="6069010E" w14:textId="77777777" w:rsidTr="00B13C61">
        <w:trPr>
          <w:trHeight w:val="390"/>
        </w:trPr>
        <w:tc>
          <w:tcPr>
            <w:tcW w:w="8476" w:type="dxa"/>
            <w:gridSpan w:val="4"/>
            <w:shd w:val="clear" w:color="auto" w:fill="A6A6A6" w:themeFill="background1" w:themeFillShade="A6"/>
          </w:tcPr>
          <w:p w14:paraId="3C8F4C25" w14:textId="77777777" w:rsidR="009A14E4" w:rsidRPr="00726EE2" w:rsidRDefault="009A14E4" w:rsidP="009A14E4">
            <w:pPr>
              <w:spacing w:after="160" w:line="259" w:lineRule="auto"/>
              <w:jc w:val="center"/>
              <w:rPr>
                <w:rFonts w:ascii="Calibri" w:hAnsi="Calibri"/>
                <w:b/>
                <w:sz w:val="32"/>
                <w:szCs w:val="32"/>
              </w:rPr>
            </w:pPr>
            <w:r w:rsidRPr="00726EE2">
              <w:rPr>
                <w:rFonts w:ascii="Calibri" w:hAnsi="Calibri"/>
                <w:b/>
                <w:sz w:val="32"/>
                <w:szCs w:val="32"/>
              </w:rPr>
              <w:t>Aims</w:t>
            </w:r>
          </w:p>
        </w:tc>
      </w:tr>
      <w:tr w:rsidR="009A14E4" w:rsidRPr="00726EE2" w14:paraId="201D78BC" w14:textId="77777777" w:rsidTr="00B13C61">
        <w:trPr>
          <w:trHeight w:val="691"/>
        </w:trPr>
        <w:tc>
          <w:tcPr>
            <w:tcW w:w="8476" w:type="dxa"/>
            <w:gridSpan w:val="4"/>
          </w:tcPr>
          <w:p w14:paraId="375A5938" w14:textId="77777777" w:rsidR="009A14E4" w:rsidRPr="00726EE2" w:rsidRDefault="009A14E4" w:rsidP="009A14E4">
            <w:pPr>
              <w:spacing w:after="160" w:line="259" w:lineRule="auto"/>
              <w:rPr>
                <w:rFonts w:ascii="Calibri" w:hAnsi="Calibri"/>
              </w:rPr>
            </w:pPr>
            <w:r w:rsidRPr="00726EE2">
              <w:rPr>
                <w:rFonts w:ascii="Calibri" w:hAnsi="Calibri"/>
                <w:lang w:val="en-US"/>
              </w:rPr>
              <w:t>The aim of this course is to present students with an insight into the way various genders are represented in the media. The course explains the stereotypical depiction of hetero-normativity in the Western society focusing on television (sitcoms, music industry, films, pornography and the news), the press (magazines), advertisements, etc. Based on different theories, students will analyse various films, videos, texts and other material and present a critique of stereotypical presentation of gender in contemporary media.</w:t>
            </w:r>
          </w:p>
        </w:tc>
      </w:tr>
      <w:tr w:rsidR="009A14E4" w:rsidRPr="00726EE2" w14:paraId="0EAFCC60" w14:textId="77777777" w:rsidTr="00B13C61">
        <w:trPr>
          <w:trHeight w:val="278"/>
        </w:trPr>
        <w:tc>
          <w:tcPr>
            <w:tcW w:w="8476" w:type="dxa"/>
            <w:gridSpan w:val="4"/>
            <w:shd w:val="clear" w:color="auto" w:fill="A6A6A6" w:themeFill="background1" w:themeFillShade="A6"/>
          </w:tcPr>
          <w:p w14:paraId="25AD9166" w14:textId="77777777" w:rsidR="009A14E4" w:rsidRPr="00726EE2" w:rsidRDefault="009A14E4" w:rsidP="009A14E4">
            <w:pPr>
              <w:spacing w:after="160" w:line="259" w:lineRule="auto"/>
              <w:jc w:val="center"/>
              <w:rPr>
                <w:rFonts w:ascii="Calibri" w:hAnsi="Calibri"/>
                <w:b/>
                <w:sz w:val="32"/>
                <w:szCs w:val="32"/>
              </w:rPr>
            </w:pPr>
            <w:r w:rsidRPr="00726EE2">
              <w:rPr>
                <w:rFonts w:ascii="Calibri" w:hAnsi="Calibri"/>
                <w:b/>
                <w:sz w:val="32"/>
                <w:szCs w:val="32"/>
              </w:rPr>
              <w:t>Contents</w:t>
            </w:r>
          </w:p>
        </w:tc>
      </w:tr>
      <w:tr w:rsidR="009A14E4" w:rsidRPr="00726EE2" w14:paraId="01E189A5" w14:textId="77777777" w:rsidTr="00B13C61">
        <w:trPr>
          <w:trHeight w:val="1970"/>
        </w:trPr>
        <w:tc>
          <w:tcPr>
            <w:tcW w:w="8476" w:type="dxa"/>
            <w:gridSpan w:val="4"/>
          </w:tcPr>
          <w:p w14:paraId="09403BF2" w14:textId="77777777" w:rsidR="009A14E4" w:rsidRDefault="009A14E4" w:rsidP="009A14E4">
            <w:pPr>
              <w:pStyle w:val="NoSpacing"/>
              <w:rPr>
                <w:lang w:val="en-US"/>
              </w:rPr>
            </w:pPr>
            <w:r w:rsidRPr="00726EE2">
              <w:rPr>
                <w:lang w:val="en-US"/>
              </w:rPr>
              <w:t>Week 1: Introduction to the course</w:t>
            </w:r>
            <w:proofErr w:type="gramStart"/>
            <w:r w:rsidRPr="00726EE2">
              <w:rPr>
                <w:lang w:val="en-US"/>
              </w:rPr>
              <w:t>. </w:t>
            </w:r>
            <w:proofErr w:type="gramEnd"/>
          </w:p>
          <w:p w14:paraId="004867D1" w14:textId="77777777" w:rsidR="009A14E4" w:rsidRDefault="009A14E4" w:rsidP="009A14E4">
            <w:pPr>
              <w:pStyle w:val="NoSpacing"/>
              <w:rPr>
                <w:lang w:val="en-US"/>
              </w:rPr>
            </w:pPr>
            <w:r w:rsidRPr="00726EE2">
              <w:rPr>
                <w:lang w:val="en-US"/>
              </w:rPr>
              <w:t>Week</w:t>
            </w:r>
            <w:r>
              <w:rPr>
                <w:lang w:val="en-US"/>
              </w:rPr>
              <w:t xml:space="preserve"> </w:t>
            </w:r>
            <w:r w:rsidRPr="00726EE2">
              <w:rPr>
                <w:lang w:val="en-US"/>
              </w:rPr>
              <w:t>2: Gender and Media terminology</w:t>
            </w:r>
            <w:proofErr w:type="gramStart"/>
            <w:r w:rsidRPr="00726EE2">
              <w:rPr>
                <w:lang w:val="en-US"/>
              </w:rPr>
              <w:t>. </w:t>
            </w:r>
            <w:proofErr w:type="gramEnd"/>
          </w:p>
          <w:p w14:paraId="74C3798A" w14:textId="77777777" w:rsidR="009A14E4" w:rsidRDefault="009A14E4" w:rsidP="009A14E4">
            <w:pPr>
              <w:pStyle w:val="NoSpacing"/>
              <w:rPr>
                <w:lang w:val="en-US"/>
              </w:rPr>
            </w:pPr>
            <w:r w:rsidRPr="00726EE2">
              <w:rPr>
                <w:lang w:val="en-US"/>
              </w:rPr>
              <w:t>Week 3: Stereotypes in media production</w:t>
            </w:r>
            <w:proofErr w:type="gramStart"/>
            <w:r w:rsidRPr="00726EE2">
              <w:rPr>
                <w:lang w:val="en-US"/>
              </w:rPr>
              <w:t>. </w:t>
            </w:r>
            <w:proofErr w:type="gramEnd"/>
          </w:p>
          <w:p w14:paraId="0A1AA151" w14:textId="77777777" w:rsidR="009A14E4" w:rsidRDefault="009A14E4" w:rsidP="009A14E4">
            <w:pPr>
              <w:pStyle w:val="NoSpacing"/>
              <w:rPr>
                <w:lang w:val="en-US"/>
              </w:rPr>
            </w:pPr>
            <w:r w:rsidRPr="00726EE2">
              <w:rPr>
                <w:lang w:val="en-US"/>
              </w:rPr>
              <w:t xml:space="preserve">Week 4: Gender in the news, advertisements, press. </w:t>
            </w:r>
          </w:p>
          <w:p w14:paraId="3AAB5DCB" w14:textId="77777777" w:rsidR="009A14E4" w:rsidRDefault="009A14E4" w:rsidP="009A14E4">
            <w:pPr>
              <w:pStyle w:val="NoSpacing"/>
              <w:rPr>
                <w:lang w:val="en-US"/>
              </w:rPr>
            </w:pPr>
            <w:r w:rsidRPr="00726EE2">
              <w:rPr>
                <w:lang w:val="en-US"/>
              </w:rPr>
              <w:t>Week 5: Gender and Television I</w:t>
            </w:r>
            <w:proofErr w:type="gramStart"/>
            <w:r w:rsidRPr="00726EE2">
              <w:rPr>
                <w:lang w:val="en-US"/>
              </w:rPr>
              <w:t>. </w:t>
            </w:r>
            <w:proofErr w:type="gramEnd"/>
          </w:p>
          <w:p w14:paraId="5B3A0584" w14:textId="77777777" w:rsidR="009A14E4" w:rsidRDefault="009A14E4" w:rsidP="009A14E4">
            <w:pPr>
              <w:pStyle w:val="NoSpacing"/>
              <w:rPr>
                <w:lang w:val="en-US"/>
              </w:rPr>
            </w:pPr>
            <w:r w:rsidRPr="00726EE2">
              <w:rPr>
                <w:lang w:val="en-US"/>
              </w:rPr>
              <w:t>Week 6: Gender and Television II</w:t>
            </w:r>
            <w:proofErr w:type="gramStart"/>
            <w:r w:rsidRPr="00726EE2">
              <w:rPr>
                <w:lang w:val="en-US"/>
              </w:rPr>
              <w:t>. </w:t>
            </w:r>
            <w:proofErr w:type="gramEnd"/>
          </w:p>
          <w:p w14:paraId="5BF291D0" w14:textId="77777777" w:rsidR="009A14E4" w:rsidRDefault="009A14E4" w:rsidP="009A14E4">
            <w:pPr>
              <w:pStyle w:val="NoSpacing"/>
              <w:rPr>
                <w:lang w:val="en-US"/>
              </w:rPr>
            </w:pPr>
            <w:r w:rsidRPr="00726EE2">
              <w:rPr>
                <w:lang w:val="en-US"/>
              </w:rPr>
              <w:t>Week 7: Tutorials</w:t>
            </w:r>
            <w:proofErr w:type="gramStart"/>
            <w:r w:rsidRPr="00726EE2">
              <w:rPr>
                <w:lang w:val="en-US"/>
              </w:rPr>
              <w:t>. </w:t>
            </w:r>
            <w:proofErr w:type="gramEnd"/>
          </w:p>
          <w:p w14:paraId="03D0B1E2" w14:textId="77777777" w:rsidR="009A14E4" w:rsidRDefault="009A14E4" w:rsidP="009A14E4">
            <w:pPr>
              <w:pStyle w:val="NoSpacing"/>
              <w:rPr>
                <w:lang w:val="en-US"/>
              </w:rPr>
            </w:pPr>
            <w:r w:rsidRPr="00726EE2">
              <w:rPr>
                <w:lang w:val="en-US"/>
              </w:rPr>
              <w:t>Week 8: Gender and music videos</w:t>
            </w:r>
            <w:proofErr w:type="gramStart"/>
            <w:r w:rsidRPr="00726EE2">
              <w:rPr>
                <w:lang w:val="en-US"/>
              </w:rPr>
              <w:t>. </w:t>
            </w:r>
            <w:proofErr w:type="gramEnd"/>
          </w:p>
          <w:p w14:paraId="7844CBFE" w14:textId="77777777" w:rsidR="009A14E4" w:rsidRDefault="009A14E4" w:rsidP="009A14E4">
            <w:pPr>
              <w:pStyle w:val="NoSpacing"/>
              <w:rPr>
                <w:lang w:val="en-US"/>
              </w:rPr>
            </w:pPr>
            <w:r w:rsidRPr="00726EE2">
              <w:rPr>
                <w:lang w:val="en-US"/>
              </w:rPr>
              <w:t>Week 9: Queering the mainstream</w:t>
            </w:r>
            <w:proofErr w:type="gramStart"/>
            <w:r w:rsidRPr="00726EE2">
              <w:rPr>
                <w:lang w:val="en-US"/>
              </w:rPr>
              <w:t>. </w:t>
            </w:r>
            <w:proofErr w:type="gramEnd"/>
          </w:p>
          <w:p w14:paraId="0252C584" w14:textId="77777777" w:rsidR="009A14E4" w:rsidRDefault="009A14E4" w:rsidP="009A14E4">
            <w:pPr>
              <w:pStyle w:val="NoSpacing"/>
              <w:rPr>
                <w:lang w:val="en-US"/>
              </w:rPr>
            </w:pPr>
            <w:r w:rsidRPr="00726EE2">
              <w:rPr>
                <w:lang w:val="en-US"/>
              </w:rPr>
              <w:t>Week 10: Sexualization and Pornography</w:t>
            </w:r>
            <w:proofErr w:type="gramStart"/>
            <w:r w:rsidRPr="00726EE2">
              <w:rPr>
                <w:lang w:val="en-US"/>
              </w:rPr>
              <w:t>. </w:t>
            </w:r>
            <w:proofErr w:type="gramEnd"/>
          </w:p>
          <w:p w14:paraId="3C6FFE58" w14:textId="77777777" w:rsidR="009A14E4" w:rsidRDefault="009A14E4" w:rsidP="009A14E4">
            <w:pPr>
              <w:pStyle w:val="NoSpacing"/>
              <w:rPr>
                <w:lang w:val="en-US"/>
              </w:rPr>
            </w:pPr>
            <w:r w:rsidRPr="00726EE2">
              <w:rPr>
                <w:lang w:val="en-US"/>
              </w:rPr>
              <w:t>Week 11: Violence</w:t>
            </w:r>
            <w:proofErr w:type="gramStart"/>
            <w:r w:rsidRPr="00726EE2">
              <w:rPr>
                <w:lang w:val="en-US"/>
              </w:rPr>
              <w:t>. </w:t>
            </w:r>
            <w:proofErr w:type="gramEnd"/>
          </w:p>
          <w:p w14:paraId="2F7D41F3" w14:textId="77777777" w:rsidR="009A14E4" w:rsidRDefault="009A14E4" w:rsidP="009A14E4">
            <w:pPr>
              <w:pStyle w:val="NoSpacing"/>
              <w:rPr>
                <w:lang w:val="en-US"/>
              </w:rPr>
            </w:pPr>
            <w:r w:rsidRPr="00726EE2">
              <w:rPr>
                <w:lang w:val="en-US"/>
              </w:rPr>
              <w:t>Week 12: Final discussion/Final exam</w:t>
            </w:r>
            <w:proofErr w:type="gramStart"/>
            <w:r w:rsidRPr="00726EE2">
              <w:rPr>
                <w:lang w:val="en-US"/>
              </w:rPr>
              <w:t>. </w:t>
            </w:r>
            <w:proofErr w:type="gramEnd"/>
          </w:p>
          <w:p w14:paraId="7357D8CC" w14:textId="77777777" w:rsidR="009A14E4" w:rsidRDefault="009A14E4" w:rsidP="009A14E4">
            <w:pPr>
              <w:pStyle w:val="NoSpacing"/>
              <w:rPr>
                <w:lang w:val="en-US"/>
              </w:rPr>
            </w:pPr>
            <w:r w:rsidRPr="00726EE2">
              <w:rPr>
                <w:lang w:val="en-US"/>
              </w:rPr>
              <w:t>Week 13: Tutorials</w:t>
            </w:r>
            <w:proofErr w:type="gramStart"/>
            <w:r w:rsidRPr="00726EE2">
              <w:rPr>
                <w:lang w:val="en-US"/>
              </w:rPr>
              <w:t>. </w:t>
            </w:r>
            <w:proofErr w:type="gramEnd"/>
          </w:p>
          <w:p w14:paraId="0C24FBEE" w14:textId="77777777" w:rsidR="009A14E4" w:rsidRPr="00726EE2" w:rsidRDefault="009A14E4" w:rsidP="009A14E4">
            <w:pPr>
              <w:pStyle w:val="NoSpacing"/>
            </w:pPr>
            <w:r w:rsidRPr="00726EE2">
              <w:rPr>
                <w:lang w:val="en-US"/>
              </w:rPr>
              <w:t>Week 14: Tutorials.</w:t>
            </w:r>
          </w:p>
        </w:tc>
      </w:tr>
      <w:tr w:rsidR="009A14E4" w:rsidRPr="00726EE2" w14:paraId="37EF3220" w14:textId="77777777" w:rsidTr="00B13C61">
        <w:trPr>
          <w:trHeight w:val="270"/>
        </w:trPr>
        <w:tc>
          <w:tcPr>
            <w:tcW w:w="8476" w:type="dxa"/>
            <w:gridSpan w:val="4"/>
            <w:shd w:val="clear" w:color="auto" w:fill="A6A6A6" w:themeFill="background1" w:themeFillShade="A6"/>
            <w:vAlign w:val="center"/>
          </w:tcPr>
          <w:p w14:paraId="446A2A8D" w14:textId="77777777" w:rsidR="009A14E4" w:rsidRPr="00726EE2" w:rsidRDefault="009A14E4" w:rsidP="009A14E4">
            <w:pPr>
              <w:spacing w:after="160" w:line="259" w:lineRule="auto"/>
              <w:jc w:val="center"/>
              <w:rPr>
                <w:rFonts w:ascii="Calibri" w:hAnsi="Calibri"/>
                <w:b/>
                <w:sz w:val="32"/>
                <w:szCs w:val="32"/>
              </w:rPr>
            </w:pPr>
            <w:r w:rsidRPr="00726EE2">
              <w:rPr>
                <w:rFonts w:ascii="Calibri" w:hAnsi="Calibri"/>
                <w:b/>
                <w:sz w:val="32"/>
                <w:szCs w:val="32"/>
              </w:rPr>
              <w:t>Evaluation</w:t>
            </w:r>
          </w:p>
        </w:tc>
      </w:tr>
      <w:tr w:rsidR="009A14E4" w:rsidRPr="00726EE2" w14:paraId="6CAC2E8A" w14:textId="77777777" w:rsidTr="00B13C61">
        <w:trPr>
          <w:trHeight w:val="278"/>
        </w:trPr>
        <w:tc>
          <w:tcPr>
            <w:tcW w:w="8476" w:type="dxa"/>
            <w:gridSpan w:val="4"/>
          </w:tcPr>
          <w:p w14:paraId="6E62CA5E" w14:textId="77777777" w:rsidR="009A14E4" w:rsidRDefault="009A14E4" w:rsidP="009A14E4">
            <w:pPr>
              <w:spacing w:after="160" w:line="259" w:lineRule="auto"/>
              <w:rPr>
                <w:rFonts w:ascii="Calibri" w:hAnsi="Calibri"/>
                <w:lang w:val="en-US"/>
              </w:rPr>
            </w:pPr>
            <w:r w:rsidRPr="00726EE2">
              <w:rPr>
                <w:rFonts w:ascii="Calibri" w:hAnsi="Calibri"/>
                <w:lang w:val="en-US"/>
              </w:rPr>
              <w:t>Attendance - students are expected to attend each class according to the schedule. No transfers among the groups are allowed. Students are allowed to miss two classes at the most. Should s/he miss three or more classes, s/he will not receive credits for the course. The student must be on time for class or s/he will be marked as absent</w:t>
            </w:r>
            <w:proofErr w:type="gramStart"/>
            <w:r w:rsidRPr="00726EE2">
              <w:rPr>
                <w:rFonts w:ascii="Calibri" w:hAnsi="Calibri"/>
                <w:lang w:val="en-US"/>
              </w:rPr>
              <w:t>. </w:t>
            </w:r>
            <w:proofErr w:type="gramEnd"/>
          </w:p>
          <w:p w14:paraId="5EFA62B2" w14:textId="77777777" w:rsidR="009A14E4" w:rsidRDefault="009A14E4" w:rsidP="009A14E4">
            <w:pPr>
              <w:spacing w:after="160" w:line="259" w:lineRule="auto"/>
              <w:rPr>
                <w:rFonts w:ascii="Calibri" w:hAnsi="Calibri"/>
                <w:lang w:val="en-US"/>
              </w:rPr>
            </w:pPr>
            <w:r>
              <w:rPr>
                <w:rFonts w:ascii="Calibri" w:hAnsi="Calibri"/>
                <w:lang w:val="en-US"/>
              </w:rPr>
              <w:t>Assessment:</w:t>
            </w:r>
          </w:p>
          <w:p w14:paraId="46A92BE4" w14:textId="77777777" w:rsidR="009A14E4" w:rsidRDefault="009A14E4" w:rsidP="009A14E4">
            <w:pPr>
              <w:spacing w:after="160" w:line="259" w:lineRule="auto"/>
              <w:rPr>
                <w:rFonts w:ascii="Calibri" w:hAnsi="Calibri"/>
                <w:lang w:val="en-US"/>
              </w:rPr>
            </w:pPr>
            <w:r w:rsidRPr="00726EE2">
              <w:rPr>
                <w:rFonts w:ascii="Calibri" w:hAnsi="Calibri"/>
                <w:lang w:val="en-US"/>
              </w:rPr>
              <w:t>Class participation – 20% Research paper – 30% (deadline for the paper: Week 10) Course exam/Final discussion – 50% The final grade for the course will be based on the following grading scale</w:t>
            </w:r>
            <w:proofErr w:type="gramStart"/>
            <w:r w:rsidRPr="00726EE2">
              <w:rPr>
                <w:rFonts w:ascii="Calibri" w:hAnsi="Calibri"/>
                <w:lang w:val="en-US"/>
              </w:rPr>
              <w:t>: </w:t>
            </w:r>
            <w:proofErr w:type="gramEnd"/>
            <w:r w:rsidRPr="00726EE2">
              <w:rPr>
                <w:rFonts w:ascii="Calibri" w:hAnsi="Calibri"/>
                <w:lang w:val="en-US"/>
              </w:rPr>
              <w:t>A100-93% B92-86% C85-78% D77-72% E71-65% FX 64% and less </w:t>
            </w:r>
          </w:p>
          <w:p w14:paraId="6305B2E0" w14:textId="77777777" w:rsidR="009A14E4" w:rsidRPr="00726EE2" w:rsidRDefault="009A14E4" w:rsidP="009A14E4">
            <w:pPr>
              <w:spacing w:after="160" w:line="259" w:lineRule="auto"/>
              <w:rPr>
                <w:rFonts w:ascii="Calibri" w:hAnsi="Calibri"/>
              </w:rPr>
            </w:pPr>
            <w:r w:rsidRPr="00726EE2">
              <w:rPr>
                <w:rFonts w:ascii="Calibri" w:hAnsi="Calibri"/>
                <w:lang w:val="en-US"/>
              </w:rPr>
              <w:t>Cheating and/or plagiarism will result in an automatic FX for the course and a memo to the Head of the Department explaining why the FX was awarded.</w:t>
            </w:r>
          </w:p>
        </w:tc>
      </w:tr>
      <w:tr w:rsidR="009A14E4" w:rsidRPr="00726EE2" w14:paraId="349B9F1A" w14:textId="77777777" w:rsidTr="00B13C61">
        <w:trPr>
          <w:trHeight w:val="290"/>
        </w:trPr>
        <w:tc>
          <w:tcPr>
            <w:tcW w:w="8476" w:type="dxa"/>
            <w:gridSpan w:val="4"/>
            <w:shd w:val="clear" w:color="auto" w:fill="A6A6A6" w:themeFill="background1" w:themeFillShade="A6"/>
          </w:tcPr>
          <w:p w14:paraId="248244F1" w14:textId="77777777" w:rsidR="009A14E4" w:rsidRPr="00726EE2" w:rsidRDefault="009A14E4" w:rsidP="009A14E4">
            <w:pPr>
              <w:spacing w:after="160" w:line="259" w:lineRule="auto"/>
              <w:jc w:val="center"/>
              <w:rPr>
                <w:rFonts w:ascii="Calibri" w:hAnsi="Calibri"/>
                <w:b/>
                <w:sz w:val="32"/>
                <w:szCs w:val="32"/>
              </w:rPr>
            </w:pPr>
            <w:r w:rsidRPr="00726EE2">
              <w:rPr>
                <w:rFonts w:ascii="Calibri" w:hAnsi="Calibri"/>
                <w:b/>
                <w:sz w:val="32"/>
                <w:szCs w:val="32"/>
              </w:rPr>
              <w:lastRenderedPageBreak/>
              <w:t>Bibliography</w:t>
            </w:r>
          </w:p>
        </w:tc>
      </w:tr>
      <w:tr w:rsidR="009A14E4" w:rsidRPr="00726EE2" w14:paraId="2CFB2A05" w14:textId="77777777" w:rsidTr="00B13C61">
        <w:trPr>
          <w:trHeight w:val="1003"/>
        </w:trPr>
        <w:tc>
          <w:tcPr>
            <w:tcW w:w="8476" w:type="dxa"/>
            <w:gridSpan w:val="4"/>
          </w:tcPr>
          <w:p w14:paraId="51338235" w14:textId="77777777" w:rsidR="009A14E4" w:rsidRDefault="009A14E4" w:rsidP="009A14E4">
            <w:pPr>
              <w:pStyle w:val="NoSpacing"/>
              <w:rPr>
                <w:lang w:val="en-US"/>
              </w:rPr>
            </w:pPr>
            <w:r w:rsidRPr="00726EE2">
              <w:rPr>
                <w:lang w:val="en-US"/>
              </w:rPr>
              <w:t>Carter, Cynthia and Linda Steiner [ed.]. 2004. Critical Readings: Media and Gender. Maidenhead, Berkshire: Open University Press, 2004. ISBN: 0-335-21097-X</w:t>
            </w:r>
            <w:proofErr w:type="gramStart"/>
            <w:r w:rsidRPr="00726EE2">
              <w:rPr>
                <w:lang w:val="en-US"/>
              </w:rPr>
              <w:t>. </w:t>
            </w:r>
            <w:proofErr w:type="gramEnd"/>
          </w:p>
          <w:p w14:paraId="40171C52" w14:textId="77777777" w:rsidR="009A14E4" w:rsidRDefault="009A14E4" w:rsidP="009A14E4">
            <w:pPr>
              <w:pStyle w:val="NoSpacing"/>
              <w:rPr>
                <w:lang w:val="en-US"/>
              </w:rPr>
            </w:pPr>
            <w:r w:rsidRPr="00726EE2">
              <w:rPr>
                <w:lang w:val="en-US"/>
              </w:rPr>
              <w:t xml:space="preserve">Foucault, Michel. 1990. The History of Sexuality: Volume 1: An Introduction. New </w:t>
            </w:r>
            <w:proofErr w:type="gramStart"/>
            <w:r w:rsidRPr="00726EE2">
              <w:rPr>
                <w:lang w:val="en-US"/>
              </w:rPr>
              <w:t>York :</w:t>
            </w:r>
            <w:proofErr w:type="gramEnd"/>
            <w:r w:rsidRPr="00726EE2">
              <w:rPr>
                <w:lang w:val="en-US"/>
              </w:rPr>
              <w:t xml:space="preserve"> Pantheon Books, 1990. ISBN-10: 0679724699</w:t>
            </w:r>
            <w:proofErr w:type="gramStart"/>
            <w:r w:rsidRPr="00726EE2">
              <w:rPr>
                <w:lang w:val="en-US"/>
              </w:rPr>
              <w:t>. </w:t>
            </w:r>
            <w:proofErr w:type="gramEnd"/>
          </w:p>
          <w:p w14:paraId="51A6534C" w14:textId="77777777" w:rsidR="009A14E4" w:rsidRDefault="009A14E4" w:rsidP="009A14E4">
            <w:pPr>
              <w:pStyle w:val="NoSpacing"/>
              <w:rPr>
                <w:lang w:val="en-US"/>
              </w:rPr>
            </w:pPr>
            <w:r w:rsidRPr="00726EE2">
              <w:rPr>
                <w:lang w:val="en-US"/>
              </w:rPr>
              <w:t xml:space="preserve">—. 1990. The History of Sexuality: Volume 2: The Use of Pleasure. New </w:t>
            </w:r>
            <w:proofErr w:type="gramStart"/>
            <w:r w:rsidRPr="00726EE2">
              <w:rPr>
                <w:lang w:val="en-US"/>
              </w:rPr>
              <w:t>York :</w:t>
            </w:r>
            <w:proofErr w:type="gramEnd"/>
            <w:r w:rsidRPr="00726EE2">
              <w:rPr>
                <w:lang w:val="en-US"/>
              </w:rPr>
              <w:t xml:space="preserve"> Pantheon Books, 1990. ISBN-10: 0394751221</w:t>
            </w:r>
            <w:proofErr w:type="gramStart"/>
            <w:r w:rsidRPr="00726EE2">
              <w:rPr>
                <w:lang w:val="en-US"/>
              </w:rPr>
              <w:t>. </w:t>
            </w:r>
            <w:proofErr w:type="gramEnd"/>
          </w:p>
          <w:p w14:paraId="74D67ED2" w14:textId="77777777" w:rsidR="009A14E4" w:rsidRDefault="009A14E4" w:rsidP="009A14E4">
            <w:pPr>
              <w:pStyle w:val="NoSpacing"/>
              <w:rPr>
                <w:lang w:val="en-US"/>
              </w:rPr>
            </w:pPr>
            <w:r w:rsidRPr="00726EE2">
              <w:rPr>
                <w:lang w:val="en-US"/>
              </w:rPr>
              <w:t>Findlen, Barbara, [ed.]. 2001. Listen Up: Voices From the Next Feminist Generation. Emeryville: Seal Press, 2001. ISBN: 1-58005-054-9</w:t>
            </w:r>
            <w:proofErr w:type="gramStart"/>
            <w:r w:rsidRPr="00726EE2">
              <w:rPr>
                <w:lang w:val="en-US"/>
              </w:rPr>
              <w:t>. </w:t>
            </w:r>
            <w:proofErr w:type="gramEnd"/>
          </w:p>
          <w:p w14:paraId="63CC33ED" w14:textId="77777777" w:rsidR="009A14E4" w:rsidRDefault="009A14E4" w:rsidP="009A14E4">
            <w:pPr>
              <w:pStyle w:val="NoSpacing"/>
              <w:rPr>
                <w:lang w:val="en-US"/>
              </w:rPr>
            </w:pPr>
            <w:r w:rsidRPr="00726EE2">
              <w:rPr>
                <w:lang w:val="en-US"/>
              </w:rPr>
              <w:t xml:space="preserve">Gauntlett, David. 2002. Media, Gender and Identity: An Introduction. New </w:t>
            </w:r>
            <w:proofErr w:type="gramStart"/>
            <w:r w:rsidRPr="00726EE2">
              <w:rPr>
                <w:lang w:val="en-US"/>
              </w:rPr>
              <w:t>York :</w:t>
            </w:r>
            <w:proofErr w:type="gramEnd"/>
            <w:r w:rsidRPr="00726EE2">
              <w:rPr>
                <w:lang w:val="en-US"/>
              </w:rPr>
              <w:t xml:space="preserve"> Routledge, 2002. ISBN-10: 0415189608</w:t>
            </w:r>
            <w:proofErr w:type="gramStart"/>
            <w:r w:rsidRPr="00726EE2">
              <w:rPr>
                <w:lang w:val="en-US"/>
              </w:rPr>
              <w:t>. </w:t>
            </w:r>
            <w:proofErr w:type="gramEnd"/>
          </w:p>
          <w:p w14:paraId="2BF0EBD5" w14:textId="77777777" w:rsidR="009A14E4" w:rsidRDefault="009A14E4" w:rsidP="009A14E4">
            <w:pPr>
              <w:pStyle w:val="NoSpacing"/>
              <w:rPr>
                <w:lang w:val="en-US"/>
              </w:rPr>
            </w:pPr>
            <w:r w:rsidRPr="00726EE2">
              <w:rPr>
                <w:lang w:val="en-US"/>
              </w:rPr>
              <w:t>Halberstam, J. Jack. 2012. Gaga Feminism: Sex, Gender, and the End of Normal. Boston: Beacon Press, 2012. ISBN: 978-0-8070-1098-3</w:t>
            </w:r>
            <w:proofErr w:type="gramStart"/>
            <w:r w:rsidRPr="00726EE2">
              <w:rPr>
                <w:lang w:val="en-US"/>
              </w:rPr>
              <w:t>. </w:t>
            </w:r>
            <w:proofErr w:type="gramEnd"/>
          </w:p>
          <w:p w14:paraId="549410F6" w14:textId="77777777" w:rsidR="009A14E4" w:rsidRDefault="009A14E4" w:rsidP="009A14E4">
            <w:pPr>
              <w:pStyle w:val="NoSpacing"/>
              <w:rPr>
                <w:lang w:val="en-US"/>
              </w:rPr>
            </w:pPr>
            <w:r w:rsidRPr="00726EE2">
              <w:rPr>
                <w:lang w:val="en-US"/>
              </w:rPr>
              <w:t>Hall, Stuart. 1980. Encoding/Decoding. [</w:t>
            </w:r>
            <w:proofErr w:type="gramStart"/>
            <w:r w:rsidRPr="00726EE2">
              <w:rPr>
                <w:lang w:val="en-US"/>
              </w:rPr>
              <w:t>ed</w:t>
            </w:r>
            <w:proofErr w:type="gramEnd"/>
            <w:r w:rsidRPr="00726EE2">
              <w:rPr>
                <w:lang w:val="en-US"/>
              </w:rPr>
              <w:t xml:space="preserve">.] Stuart Hall, et al. Culture, Media, Language. </w:t>
            </w:r>
            <w:proofErr w:type="gramStart"/>
            <w:r w:rsidRPr="00726EE2">
              <w:rPr>
                <w:lang w:val="en-US"/>
              </w:rPr>
              <w:t>London :</w:t>
            </w:r>
            <w:proofErr w:type="gramEnd"/>
            <w:r w:rsidRPr="00726EE2">
              <w:rPr>
                <w:lang w:val="en-US"/>
              </w:rPr>
              <w:t xml:space="preserve"> Routledge, 1980, pp. 117-127.</w:t>
            </w:r>
          </w:p>
          <w:p w14:paraId="4F5B8B40" w14:textId="77777777" w:rsidR="009A14E4" w:rsidRDefault="009A14E4" w:rsidP="009A14E4">
            <w:pPr>
              <w:pStyle w:val="NoSpacing"/>
              <w:rPr>
                <w:lang w:val="en-US"/>
              </w:rPr>
            </w:pPr>
            <w:r w:rsidRPr="00726EE2">
              <w:rPr>
                <w:lang w:val="en-US"/>
              </w:rPr>
              <w:t> Jackson, Stevi and Sue Scott [ed.]. 2002. Gender: A Sociological Reader. New York: Routledge, 2002. ISBN: 0-415-20180-2</w:t>
            </w:r>
            <w:proofErr w:type="gramStart"/>
            <w:r w:rsidRPr="00726EE2">
              <w:rPr>
                <w:lang w:val="en-US"/>
              </w:rPr>
              <w:t>. </w:t>
            </w:r>
            <w:proofErr w:type="gramEnd"/>
          </w:p>
          <w:p w14:paraId="05FA06F2" w14:textId="77777777" w:rsidR="009A14E4" w:rsidRDefault="009A14E4" w:rsidP="009A14E4">
            <w:pPr>
              <w:pStyle w:val="NoSpacing"/>
              <w:rPr>
                <w:lang w:val="en-US"/>
              </w:rPr>
            </w:pPr>
            <w:r w:rsidRPr="00726EE2">
              <w:rPr>
                <w:lang w:val="en-US"/>
              </w:rPr>
              <w:t xml:space="preserve">Malti-Douglas, Fedwa, [ed.]. 2007. Encyclopedia of Sex and Gender. New </w:t>
            </w:r>
            <w:proofErr w:type="gramStart"/>
            <w:r w:rsidRPr="00726EE2">
              <w:rPr>
                <w:lang w:val="en-US"/>
              </w:rPr>
              <w:t>York :</w:t>
            </w:r>
            <w:proofErr w:type="gramEnd"/>
            <w:r w:rsidRPr="00726EE2">
              <w:rPr>
                <w:lang w:val="en-US"/>
              </w:rPr>
              <w:t xml:space="preserve"> Thompson Gale, 2007. ISBN-10: 0028659600</w:t>
            </w:r>
            <w:proofErr w:type="gramStart"/>
            <w:r w:rsidRPr="00726EE2">
              <w:rPr>
                <w:lang w:val="en-US"/>
              </w:rPr>
              <w:t>. </w:t>
            </w:r>
            <w:proofErr w:type="gramEnd"/>
          </w:p>
          <w:p w14:paraId="63E92C95" w14:textId="77777777" w:rsidR="009A14E4" w:rsidRDefault="009A14E4" w:rsidP="009A14E4">
            <w:pPr>
              <w:pStyle w:val="NoSpacing"/>
              <w:rPr>
                <w:lang w:val="en-US"/>
              </w:rPr>
            </w:pPr>
            <w:r w:rsidRPr="00726EE2">
              <w:rPr>
                <w:lang w:val="en-US"/>
              </w:rPr>
              <w:t xml:space="preserve">Mulvey, Laura. Visual Pleasure and Narrative Cinema (1975). [Online] [Cited: August 10, 2013.] </w:t>
            </w:r>
            <w:proofErr w:type="gramStart"/>
            <w:r w:rsidRPr="00726EE2">
              <w:rPr>
                <w:lang w:val="en-US"/>
              </w:rPr>
              <w:t>pp</w:t>
            </w:r>
            <w:proofErr w:type="gramEnd"/>
            <w:r w:rsidRPr="00726EE2">
              <w:rPr>
                <w:lang w:val="en-US"/>
              </w:rPr>
              <w:t xml:space="preserve">. 6-18. http://imlportfolio.usc.edu/ctcs505/mulveyVisualPleasureNarrativeCinema.pdf. </w:t>
            </w:r>
          </w:p>
          <w:p w14:paraId="03603297" w14:textId="77777777" w:rsidR="009A14E4" w:rsidRDefault="009A14E4" w:rsidP="009A14E4">
            <w:pPr>
              <w:pStyle w:val="NoSpacing"/>
              <w:rPr>
                <w:lang w:val="en-US"/>
              </w:rPr>
            </w:pPr>
            <w:r w:rsidRPr="00726EE2">
              <w:rPr>
                <w:lang w:val="en-US"/>
              </w:rPr>
              <w:t xml:space="preserve">Pilcher, Jane and Whelelan, Imelda. </w:t>
            </w:r>
            <w:proofErr w:type="gramStart"/>
            <w:r w:rsidRPr="00726EE2">
              <w:rPr>
                <w:lang w:val="en-US"/>
              </w:rPr>
              <w:t>2004. Fifty</w:t>
            </w:r>
            <w:proofErr w:type="gramEnd"/>
            <w:r w:rsidRPr="00726EE2">
              <w:rPr>
                <w:lang w:val="en-US"/>
              </w:rPr>
              <w:t xml:space="preserve"> Key Concepts in Gender Studies. </w:t>
            </w:r>
            <w:proofErr w:type="gramStart"/>
            <w:r w:rsidRPr="00726EE2">
              <w:rPr>
                <w:lang w:val="en-US"/>
              </w:rPr>
              <w:t>London :</w:t>
            </w:r>
            <w:proofErr w:type="gramEnd"/>
            <w:r w:rsidRPr="00726EE2">
              <w:rPr>
                <w:lang w:val="en-US"/>
              </w:rPr>
              <w:t xml:space="preserve"> Sage Publications Ltd., 2004. ISBN 0 7619 7035 5</w:t>
            </w:r>
            <w:proofErr w:type="gramStart"/>
            <w:r w:rsidRPr="00726EE2">
              <w:rPr>
                <w:lang w:val="en-US"/>
              </w:rPr>
              <w:t>. </w:t>
            </w:r>
            <w:proofErr w:type="gramEnd"/>
          </w:p>
          <w:p w14:paraId="1C8171E5" w14:textId="77777777" w:rsidR="009A14E4" w:rsidRPr="00726EE2" w:rsidRDefault="009A14E4" w:rsidP="009A14E4">
            <w:pPr>
              <w:pStyle w:val="NoSpacing"/>
              <w:rPr>
                <w:lang w:val="en-US"/>
              </w:rPr>
            </w:pPr>
            <w:r w:rsidRPr="00726EE2">
              <w:rPr>
                <w:lang w:val="en-US"/>
              </w:rPr>
              <w:t xml:space="preserve">Wolf, Naomi. 2002. The Beauty Myth: How Images of Beauty are Used Against Women. New </w:t>
            </w:r>
            <w:proofErr w:type="gramStart"/>
            <w:r w:rsidRPr="00726EE2">
              <w:rPr>
                <w:lang w:val="en-US"/>
              </w:rPr>
              <w:t>York :</w:t>
            </w:r>
            <w:proofErr w:type="gramEnd"/>
            <w:r w:rsidRPr="00726EE2">
              <w:rPr>
                <w:lang w:val="en-US"/>
              </w:rPr>
              <w:t xml:space="preserve"> Harper Perennial, 2002. ISBN-10: 0060512180.</w:t>
            </w:r>
          </w:p>
        </w:tc>
      </w:tr>
    </w:tbl>
    <w:p w14:paraId="5D80C28A" w14:textId="5023A894" w:rsidR="006F1954" w:rsidRPr="009A14E4" w:rsidRDefault="006F1954" w:rsidP="009A14E4"/>
    <w:sectPr w:rsidR="006F1954" w:rsidRPr="009A14E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A14E4"/>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2988</Characters>
  <Application>Microsoft Macintosh Word</Application>
  <DocSecurity>0</DocSecurity>
  <Lines>24</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2015-05-27T10:00:00Z</dcterms:created>
  <dcterms:modified xsi:type="dcterms:W3CDTF">2015-05-27T10:00:00Z</dcterms:modified>
</cp:coreProperties>
</file>