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5B2BBA" w14:paraId="2C2E4317" w14:textId="77777777" w:rsidTr="0062294A">
        <w:trPr>
          <w:trHeight w:val="283"/>
        </w:trPr>
        <w:tc>
          <w:tcPr>
            <w:tcW w:w="8476" w:type="dxa"/>
            <w:gridSpan w:val="4"/>
            <w:shd w:val="clear" w:color="auto" w:fill="A6A6A6" w:themeFill="background1" w:themeFillShade="A6"/>
          </w:tcPr>
          <w:p w14:paraId="3A78179A" w14:textId="77777777" w:rsidR="005B2BBA" w:rsidRPr="00BC1966" w:rsidRDefault="005B2BBA" w:rsidP="005B2BBA">
            <w:pPr>
              <w:jc w:val="center"/>
              <w:rPr>
                <w:b/>
                <w:sz w:val="32"/>
                <w:szCs w:val="32"/>
              </w:rPr>
            </w:pPr>
            <w:r w:rsidRPr="00BC1966">
              <w:rPr>
                <w:b/>
                <w:sz w:val="32"/>
                <w:szCs w:val="32"/>
              </w:rPr>
              <w:t>General Information</w:t>
            </w:r>
          </w:p>
        </w:tc>
      </w:tr>
      <w:tr w:rsidR="005B2BBA" w14:paraId="09BF6824" w14:textId="77777777" w:rsidTr="0062294A">
        <w:trPr>
          <w:trHeight w:val="501"/>
        </w:trPr>
        <w:tc>
          <w:tcPr>
            <w:tcW w:w="2118" w:type="dxa"/>
            <w:vMerge w:val="restart"/>
          </w:tcPr>
          <w:p w14:paraId="05D0A286" w14:textId="77777777" w:rsidR="005B2BBA" w:rsidRPr="00F95A32" w:rsidRDefault="005B2BBA" w:rsidP="005B2BBA">
            <w:pPr>
              <w:rPr>
                <w:b/>
              </w:rPr>
            </w:pPr>
            <w:r w:rsidRPr="00F95A32">
              <w:rPr>
                <w:b/>
              </w:rPr>
              <w:t>Course name</w:t>
            </w:r>
          </w:p>
        </w:tc>
        <w:tc>
          <w:tcPr>
            <w:tcW w:w="2980" w:type="dxa"/>
            <w:vMerge w:val="restart"/>
          </w:tcPr>
          <w:p w14:paraId="2FF7A800" w14:textId="77777777" w:rsidR="005B2BBA" w:rsidRPr="00351ACC" w:rsidRDefault="005B2BBA" w:rsidP="005B2BBA">
            <w:pPr>
              <w:rPr>
                <w:b/>
                <w:lang w:val="en-US"/>
              </w:rPr>
            </w:pPr>
            <w:bookmarkStart w:id="0" w:name="_GoBack"/>
            <w:r w:rsidRPr="00351ACC">
              <w:rPr>
                <w:b/>
                <w:lang w:val="en-US"/>
              </w:rPr>
              <w:t xml:space="preserve">Linguistic Proseminar </w:t>
            </w:r>
          </w:p>
          <w:bookmarkEnd w:id="0"/>
          <w:p w14:paraId="4AF4E01E" w14:textId="77777777" w:rsidR="005B2BBA" w:rsidRPr="00F95A32" w:rsidRDefault="005B2BBA" w:rsidP="005B2BBA">
            <w:pPr>
              <w:rPr>
                <w:b/>
              </w:rPr>
            </w:pPr>
          </w:p>
        </w:tc>
        <w:tc>
          <w:tcPr>
            <w:tcW w:w="1257" w:type="dxa"/>
          </w:tcPr>
          <w:p w14:paraId="2F46A9C1" w14:textId="77777777" w:rsidR="005B2BBA" w:rsidRPr="00F95A32" w:rsidRDefault="005B2BBA" w:rsidP="005B2BBA">
            <w:pPr>
              <w:rPr>
                <w:b/>
              </w:rPr>
            </w:pPr>
            <w:r w:rsidRPr="00F95A32">
              <w:rPr>
                <w:b/>
              </w:rPr>
              <w:t>ECTS Credits</w:t>
            </w:r>
          </w:p>
        </w:tc>
        <w:tc>
          <w:tcPr>
            <w:tcW w:w="2121" w:type="dxa"/>
          </w:tcPr>
          <w:p w14:paraId="44EB1632" w14:textId="77777777" w:rsidR="005B2BBA" w:rsidRPr="00F95A32" w:rsidRDefault="005B2BBA" w:rsidP="005B2BBA">
            <w:pPr>
              <w:rPr>
                <w:b/>
              </w:rPr>
            </w:pPr>
            <w:r>
              <w:rPr>
                <w:b/>
              </w:rPr>
              <w:t>3</w:t>
            </w:r>
          </w:p>
        </w:tc>
      </w:tr>
      <w:tr w:rsidR="005B2BBA" w14:paraId="0D008F4B" w14:textId="77777777" w:rsidTr="0062294A">
        <w:trPr>
          <w:trHeight w:val="501"/>
        </w:trPr>
        <w:tc>
          <w:tcPr>
            <w:tcW w:w="2118" w:type="dxa"/>
            <w:vMerge/>
          </w:tcPr>
          <w:p w14:paraId="0F0AD6BE" w14:textId="77777777" w:rsidR="005B2BBA" w:rsidRPr="00F95A32" w:rsidRDefault="005B2BBA" w:rsidP="005B2BBA">
            <w:pPr>
              <w:rPr>
                <w:b/>
              </w:rPr>
            </w:pPr>
          </w:p>
        </w:tc>
        <w:tc>
          <w:tcPr>
            <w:tcW w:w="2980" w:type="dxa"/>
            <w:vMerge/>
          </w:tcPr>
          <w:p w14:paraId="2DDCEA33" w14:textId="77777777" w:rsidR="005B2BBA" w:rsidRPr="00F95A32" w:rsidRDefault="005B2BBA" w:rsidP="005B2BBA">
            <w:pPr>
              <w:rPr>
                <w:b/>
              </w:rPr>
            </w:pPr>
          </w:p>
        </w:tc>
        <w:tc>
          <w:tcPr>
            <w:tcW w:w="1257" w:type="dxa"/>
          </w:tcPr>
          <w:p w14:paraId="0F1182B1" w14:textId="77777777" w:rsidR="005B2BBA" w:rsidRPr="00F95A32" w:rsidRDefault="005B2BBA" w:rsidP="005B2BBA">
            <w:pPr>
              <w:rPr>
                <w:b/>
              </w:rPr>
            </w:pPr>
            <w:r w:rsidRPr="00F95A32">
              <w:rPr>
                <w:b/>
              </w:rPr>
              <w:t>Semester</w:t>
            </w:r>
          </w:p>
        </w:tc>
        <w:tc>
          <w:tcPr>
            <w:tcW w:w="2121" w:type="dxa"/>
          </w:tcPr>
          <w:p w14:paraId="2DCF83D0" w14:textId="77777777" w:rsidR="005B2BBA" w:rsidRPr="00F95A32" w:rsidRDefault="005B2BBA" w:rsidP="005B2BBA">
            <w:pPr>
              <w:rPr>
                <w:b/>
              </w:rPr>
            </w:pPr>
            <w:r>
              <w:rPr>
                <w:b/>
              </w:rPr>
              <w:t>winter</w:t>
            </w:r>
          </w:p>
        </w:tc>
      </w:tr>
      <w:tr w:rsidR="005B2BBA" w14:paraId="507E01E1" w14:textId="77777777" w:rsidTr="0062294A">
        <w:trPr>
          <w:trHeight w:val="231"/>
        </w:trPr>
        <w:tc>
          <w:tcPr>
            <w:tcW w:w="8476" w:type="dxa"/>
            <w:gridSpan w:val="4"/>
          </w:tcPr>
          <w:p w14:paraId="6985E3B8" w14:textId="77777777" w:rsidR="005B2BBA" w:rsidRDefault="005B2BBA" w:rsidP="005B2BBA"/>
        </w:tc>
      </w:tr>
      <w:tr w:rsidR="005B2BBA" w14:paraId="5D2E3636" w14:textId="77777777" w:rsidTr="0062294A">
        <w:trPr>
          <w:trHeight w:val="390"/>
        </w:trPr>
        <w:tc>
          <w:tcPr>
            <w:tcW w:w="8476" w:type="dxa"/>
            <w:gridSpan w:val="4"/>
            <w:shd w:val="clear" w:color="auto" w:fill="A6A6A6" w:themeFill="background1" w:themeFillShade="A6"/>
          </w:tcPr>
          <w:p w14:paraId="0D1AEE22" w14:textId="77777777" w:rsidR="005B2BBA" w:rsidRPr="00BC1966" w:rsidRDefault="005B2BBA" w:rsidP="005B2BBA">
            <w:pPr>
              <w:jc w:val="center"/>
              <w:rPr>
                <w:b/>
                <w:sz w:val="32"/>
                <w:szCs w:val="32"/>
              </w:rPr>
            </w:pPr>
            <w:r w:rsidRPr="00BC1966">
              <w:rPr>
                <w:b/>
                <w:sz w:val="32"/>
                <w:szCs w:val="32"/>
              </w:rPr>
              <w:t>Aims</w:t>
            </w:r>
          </w:p>
        </w:tc>
      </w:tr>
      <w:tr w:rsidR="005B2BBA" w14:paraId="2249A347" w14:textId="77777777" w:rsidTr="0062294A">
        <w:trPr>
          <w:trHeight w:val="683"/>
        </w:trPr>
        <w:tc>
          <w:tcPr>
            <w:tcW w:w="8476" w:type="dxa"/>
            <w:gridSpan w:val="4"/>
          </w:tcPr>
          <w:p w14:paraId="50E2A7BB" w14:textId="77777777" w:rsidR="005B2BBA" w:rsidRPr="00BC1966" w:rsidRDefault="005B2BBA" w:rsidP="005B2BBA">
            <w:r w:rsidRPr="00D828AD">
              <w:rPr>
                <w:lang w:val="en-US"/>
              </w:rPr>
              <w:t>This course aims to provide students with a brief survey of the main schools, movements, and approaches of linguistic thought in 20th century Europe and USA</w:t>
            </w:r>
          </w:p>
        </w:tc>
      </w:tr>
      <w:tr w:rsidR="005B2BBA" w14:paraId="50B1F295" w14:textId="77777777" w:rsidTr="0062294A">
        <w:trPr>
          <w:trHeight w:val="278"/>
        </w:trPr>
        <w:tc>
          <w:tcPr>
            <w:tcW w:w="8476" w:type="dxa"/>
            <w:gridSpan w:val="4"/>
            <w:shd w:val="clear" w:color="auto" w:fill="A6A6A6" w:themeFill="background1" w:themeFillShade="A6"/>
          </w:tcPr>
          <w:p w14:paraId="7E09954F" w14:textId="77777777" w:rsidR="005B2BBA" w:rsidRPr="00BC1966" w:rsidRDefault="005B2BBA" w:rsidP="005B2BBA">
            <w:pPr>
              <w:jc w:val="center"/>
              <w:rPr>
                <w:b/>
                <w:sz w:val="32"/>
                <w:szCs w:val="32"/>
              </w:rPr>
            </w:pPr>
            <w:r w:rsidRPr="00BC1966">
              <w:rPr>
                <w:b/>
                <w:sz w:val="32"/>
                <w:szCs w:val="32"/>
              </w:rPr>
              <w:t>Contents</w:t>
            </w:r>
          </w:p>
        </w:tc>
      </w:tr>
      <w:tr w:rsidR="005B2BBA" w14:paraId="51F14E4D" w14:textId="77777777" w:rsidTr="0062294A">
        <w:trPr>
          <w:trHeight w:val="2273"/>
        </w:trPr>
        <w:tc>
          <w:tcPr>
            <w:tcW w:w="8476" w:type="dxa"/>
            <w:gridSpan w:val="4"/>
          </w:tcPr>
          <w:p w14:paraId="55B413C5" w14:textId="77777777" w:rsidR="005B2BBA" w:rsidRPr="00D828AD" w:rsidRDefault="005B2BBA" w:rsidP="005B2BBA">
            <w:pPr>
              <w:rPr>
                <w:lang w:val="en-US"/>
              </w:rPr>
            </w:pPr>
            <w:r w:rsidRPr="00D828AD">
              <w:rPr>
                <w:lang w:val="en-US"/>
              </w:rPr>
              <w:t xml:space="preserve">1. The 19th century linguistics </w:t>
            </w:r>
          </w:p>
          <w:p w14:paraId="78675E01" w14:textId="77777777" w:rsidR="005B2BBA" w:rsidRDefault="005B2BBA" w:rsidP="005B2BBA">
            <w:pPr>
              <w:rPr>
                <w:lang w:val="en-US"/>
              </w:rPr>
            </w:pPr>
            <w:r w:rsidRPr="00D828AD">
              <w:rPr>
                <w:lang w:val="en-US"/>
              </w:rPr>
              <w:t>2. Saussure: language as a social fact </w:t>
            </w:r>
          </w:p>
          <w:p w14:paraId="308E4CB7" w14:textId="77777777" w:rsidR="005B2BBA" w:rsidRDefault="005B2BBA" w:rsidP="005B2BBA">
            <w:pPr>
              <w:rPr>
                <w:lang w:val="en-US"/>
              </w:rPr>
            </w:pPr>
            <w:r w:rsidRPr="00D828AD">
              <w:rPr>
                <w:lang w:val="en-US"/>
              </w:rPr>
              <w:t>3. The Descriptivists </w:t>
            </w:r>
          </w:p>
          <w:p w14:paraId="5E21E82A" w14:textId="77777777" w:rsidR="005B2BBA" w:rsidRDefault="005B2BBA" w:rsidP="005B2BBA">
            <w:pPr>
              <w:rPr>
                <w:lang w:val="en-US"/>
              </w:rPr>
            </w:pPr>
            <w:r w:rsidRPr="00D828AD">
              <w:rPr>
                <w:lang w:val="en-US"/>
              </w:rPr>
              <w:t>4. The Sapir-Whorf hypothesis </w:t>
            </w:r>
          </w:p>
          <w:p w14:paraId="55D46B5F" w14:textId="77777777" w:rsidR="005B2BBA" w:rsidRDefault="005B2BBA" w:rsidP="005B2BBA">
            <w:pPr>
              <w:rPr>
                <w:lang w:val="en-US"/>
              </w:rPr>
            </w:pPr>
            <w:r w:rsidRPr="00D828AD">
              <w:rPr>
                <w:lang w:val="en-US"/>
              </w:rPr>
              <w:t>5. Functional linguistics: the Prague School </w:t>
            </w:r>
          </w:p>
          <w:p w14:paraId="51280CBA" w14:textId="77777777" w:rsidR="005B2BBA" w:rsidRDefault="005B2BBA" w:rsidP="005B2BBA">
            <w:pPr>
              <w:rPr>
                <w:lang w:val="en-US"/>
              </w:rPr>
            </w:pPr>
            <w:r w:rsidRPr="00D828AD">
              <w:rPr>
                <w:lang w:val="en-US"/>
              </w:rPr>
              <w:t>6. Noam Chomsky and generative grammar </w:t>
            </w:r>
          </w:p>
          <w:p w14:paraId="087D2705" w14:textId="77777777" w:rsidR="005B2BBA" w:rsidRDefault="005B2BBA" w:rsidP="005B2BBA">
            <w:pPr>
              <w:rPr>
                <w:lang w:val="en-US"/>
              </w:rPr>
            </w:pPr>
            <w:r w:rsidRPr="00D828AD">
              <w:rPr>
                <w:lang w:val="en-US"/>
              </w:rPr>
              <w:t xml:space="preserve">7. Relational grammar: Hjelmslev, Lamb, Reich </w:t>
            </w:r>
          </w:p>
          <w:p w14:paraId="444EB06D" w14:textId="77777777" w:rsidR="005B2BBA" w:rsidRPr="00D828AD" w:rsidRDefault="005B2BBA" w:rsidP="005B2BBA">
            <w:pPr>
              <w:rPr>
                <w:lang w:val="en-US"/>
              </w:rPr>
            </w:pPr>
            <w:r w:rsidRPr="00D828AD">
              <w:rPr>
                <w:lang w:val="en-US"/>
              </w:rPr>
              <w:t xml:space="preserve">8. Generative phonology </w:t>
            </w:r>
          </w:p>
          <w:p w14:paraId="19D315A0" w14:textId="77777777" w:rsidR="005B2BBA" w:rsidRDefault="005B2BBA" w:rsidP="005B2BBA">
            <w:r w:rsidRPr="00D828AD">
              <w:rPr>
                <w:lang w:val="en-US"/>
              </w:rPr>
              <w:t>9. The London School</w:t>
            </w:r>
          </w:p>
        </w:tc>
      </w:tr>
      <w:tr w:rsidR="005B2BBA" w14:paraId="411F4E3A" w14:textId="77777777" w:rsidTr="0062294A">
        <w:trPr>
          <w:trHeight w:val="270"/>
        </w:trPr>
        <w:tc>
          <w:tcPr>
            <w:tcW w:w="8476" w:type="dxa"/>
            <w:gridSpan w:val="4"/>
            <w:shd w:val="clear" w:color="auto" w:fill="A6A6A6" w:themeFill="background1" w:themeFillShade="A6"/>
          </w:tcPr>
          <w:p w14:paraId="3155BC23" w14:textId="77777777" w:rsidR="005B2BBA" w:rsidRPr="00BC1966" w:rsidRDefault="005B2BBA" w:rsidP="005B2BBA">
            <w:pPr>
              <w:jc w:val="center"/>
              <w:rPr>
                <w:b/>
                <w:sz w:val="32"/>
                <w:szCs w:val="32"/>
              </w:rPr>
            </w:pPr>
            <w:r w:rsidRPr="00BC1966">
              <w:rPr>
                <w:b/>
                <w:sz w:val="32"/>
                <w:szCs w:val="32"/>
              </w:rPr>
              <w:t>Evaluation</w:t>
            </w:r>
          </w:p>
        </w:tc>
      </w:tr>
      <w:tr w:rsidR="005B2BBA" w14:paraId="7380B73F" w14:textId="77777777" w:rsidTr="0062294A">
        <w:trPr>
          <w:trHeight w:val="1110"/>
        </w:trPr>
        <w:tc>
          <w:tcPr>
            <w:tcW w:w="8476" w:type="dxa"/>
            <w:gridSpan w:val="4"/>
          </w:tcPr>
          <w:p w14:paraId="6908D3CB" w14:textId="77777777" w:rsidR="005B2BBA" w:rsidRDefault="005B2BBA" w:rsidP="005B2BBA">
            <w:pPr>
              <w:rPr>
                <w:lang w:val="en-US"/>
              </w:rPr>
            </w:pPr>
            <w:r w:rsidRPr="00D828AD">
              <w:rPr>
                <w:lang w:val="en-US"/>
              </w:rPr>
              <w:t xml:space="preserve">1. Attendance - students are expected to attend each class according to schedule. Should the student miss two or more classes without relevant reason, he/she will not receive credits for the course no matter what his/her overall results are. The student must be on time for class or he/she will be marked as absent. </w:t>
            </w:r>
          </w:p>
          <w:p w14:paraId="12B212F4" w14:textId="77777777" w:rsidR="005B2BBA" w:rsidRPr="00D828AD" w:rsidRDefault="005B2BBA" w:rsidP="005B2BBA">
            <w:pPr>
              <w:rPr>
                <w:lang w:val="en-US"/>
              </w:rPr>
            </w:pPr>
          </w:p>
          <w:p w14:paraId="548DC5F3" w14:textId="77777777" w:rsidR="005B2BBA" w:rsidRDefault="005B2BBA" w:rsidP="005B2BBA">
            <w:pPr>
              <w:rPr>
                <w:lang w:val="en-US"/>
              </w:rPr>
            </w:pPr>
            <w:r w:rsidRPr="00D828AD">
              <w:rPr>
                <w:lang w:val="en-US"/>
              </w:rPr>
              <w:t>2. Continuous and final assessment: Preparation and active participation (50 %) </w:t>
            </w:r>
          </w:p>
          <w:p w14:paraId="5DEFD4AA" w14:textId="77777777" w:rsidR="005B2BBA" w:rsidRDefault="005B2BBA" w:rsidP="005B2BBA">
            <w:pPr>
              <w:rPr>
                <w:lang w:val="en-US"/>
              </w:rPr>
            </w:pPr>
            <w:r w:rsidRPr="00D828AD">
              <w:rPr>
                <w:lang w:val="en-US"/>
              </w:rPr>
              <w:t>1. Each student is expected to have their own copy of the class material, to read and analyse them before the lesson (own written preparation is necessary). </w:t>
            </w:r>
          </w:p>
          <w:p w14:paraId="54BE7258" w14:textId="77777777" w:rsidR="005B2BBA" w:rsidRDefault="005B2BBA" w:rsidP="005B2BBA">
            <w:pPr>
              <w:rPr>
                <w:lang w:val="en-US"/>
              </w:rPr>
            </w:pPr>
            <w:r w:rsidRPr="00D828AD">
              <w:rPr>
                <w:lang w:val="en-US"/>
              </w:rPr>
              <w:t>2. Active contribution to seminar discussion by presenting information and comments not only from the material assigned by the lecturer, but also from the other sources related to the discussed major linguistic theories and movements, is required. </w:t>
            </w:r>
          </w:p>
          <w:p w14:paraId="29358C16" w14:textId="77777777" w:rsidR="005B2BBA" w:rsidRDefault="005B2BBA" w:rsidP="005B2BBA">
            <w:pPr>
              <w:rPr>
                <w:lang w:val="en-US"/>
              </w:rPr>
            </w:pPr>
          </w:p>
          <w:p w14:paraId="064BF3F9" w14:textId="77777777" w:rsidR="005B2BBA" w:rsidRDefault="005B2BBA" w:rsidP="005B2BBA">
            <w:pPr>
              <w:rPr>
                <w:lang w:val="en-US"/>
              </w:rPr>
            </w:pPr>
            <w:r w:rsidRPr="00D828AD">
              <w:rPr>
                <w:lang w:val="en-US"/>
              </w:rPr>
              <w:t>Presentation (50%) Each student is to prepare a 30 minute presentation related to the given area of linguistics (details will be specified on the first, introductory seminar) </w:t>
            </w:r>
          </w:p>
          <w:p w14:paraId="2ADB51FA" w14:textId="77777777" w:rsidR="005B2BBA" w:rsidRDefault="005B2BBA" w:rsidP="005B2BBA">
            <w:pPr>
              <w:rPr>
                <w:lang w:val="en-US"/>
              </w:rPr>
            </w:pPr>
          </w:p>
          <w:p w14:paraId="3AE4B857" w14:textId="77777777" w:rsidR="005B2BBA" w:rsidRDefault="005B2BBA" w:rsidP="005B2BBA">
            <w:r w:rsidRPr="00D828AD">
              <w:rPr>
                <w:lang w:val="en-US"/>
              </w:rPr>
              <w:t>Final assessment is given by the sum of continuous assessment (active participation 50%, presentation 50%). There is no retake for any part of the continuous assessment. FINAL EVALUATION = final assessment mark: Mark % A92–100 B87–91 C82–86 D77–81 E65–76 FX 64 and less</w:t>
            </w:r>
          </w:p>
        </w:tc>
      </w:tr>
      <w:tr w:rsidR="005B2BBA" w14:paraId="04F1B9A9" w14:textId="77777777" w:rsidTr="0062294A">
        <w:trPr>
          <w:trHeight w:val="290"/>
        </w:trPr>
        <w:tc>
          <w:tcPr>
            <w:tcW w:w="8476" w:type="dxa"/>
            <w:gridSpan w:val="4"/>
            <w:shd w:val="clear" w:color="auto" w:fill="A6A6A6" w:themeFill="background1" w:themeFillShade="A6"/>
          </w:tcPr>
          <w:p w14:paraId="2C02DD54" w14:textId="77777777" w:rsidR="005B2BBA" w:rsidRPr="00BC1966" w:rsidRDefault="005B2BBA" w:rsidP="005B2BBA">
            <w:pPr>
              <w:jc w:val="center"/>
              <w:rPr>
                <w:b/>
                <w:sz w:val="32"/>
                <w:szCs w:val="32"/>
              </w:rPr>
            </w:pPr>
            <w:r w:rsidRPr="00BC1966">
              <w:rPr>
                <w:b/>
                <w:sz w:val="32"/>
                <w:szCs w:val="32"/>
              </w:rPr>
              <w:t>Bibliography</w:t>
            </w:r>
          </w:p>
        </w:tc>
      </w:tr>
      <w:tr w:rsidR="005B2BBA" w14:paraId="4AA212C0" w14:textId="77777777" w:rsidTr="0062294A">
        <w:trPr>
          <w:trHeight w:val="1003"/>
        </w:trPr>
        <w:tc>
          <w:tcPr>
            <w:tcW w:w="8476" w:type="dxa"/>
            <w:gridSpan w:val="4"/>
          </w:tcPr>
          <w:p w14:paraId="486C2937" w14:textId="77777777" w:rsidR="005B2BBA" w:rsidRDefault="005B2BBA" w:rsidP="005B2BBA">
            <w:pPr>
              <w:rPr>
                <w:lang w:val="en-US"/>
              </w:rPr>
            </w:pPr>
            <w:r w:rsidRPr="00D828AD">
              <w:rPr>
                <w:lang w:val="en-US"/>
              </w:rPr>
              <w:t xml:space="preserve">Sampson, Geoffrey (1980). Schools of Linguisitcs. Stanford: Stanford University Press. </w:t>
            </w:r>
          </w:p>
          <w:p w14:paraId="7875EBE2" w14:textId="77777777" w:rsidR="005B2BBA" w:rsidRDefault="005B2BBA" w:rsidP="005B2BBA">
            <w:pPr>
              <w:rPr>
                <w:lang w:val="en-US"/>
              </w:rPr>
            </w:pPr>
            <w:r w:rsidRPr="00D828AD">
              <w:rPr>
                <w:lang w:val="en-US"/>
              </w:rPr>
              <w:t>Culler, Jonathan (1993). Saussure. Bratislava: Archa. </w:t>
            </w:r>
          </w:p>
          <w:p w14:paraId="5EE73330" w14:textId="77777777" w:rsidR="005B2BBA" w:rsidRDefault="005B2BBA" w:rsidP="005B2BBA">
            <w:pPr>
              <w:rPr>
                <w:lang w:val="en-US"/>
              </w:rPr>
            </w:pPr>
            <w:r w:rsidRPr="00D828AD">
              <w:rPr>
                <w:lang w:val="en-US"/>
              </w:rPr>
              <w:t xml:space="preserve">Deleuze, Gilles (1993). Podľa čoho poznáme štrukturalizums? Bratislava: Archa. </w:t>
            </w:r>
          </w:p>
          <w:p w14:paraId="66A39C77" w14:textId="77777777" w:rsidR="005B2BBA" w:rsidRPr="00D828AD" w:rsidRDefault="005B2BBA" w:rsidP="005B2BBA">
            <w:pPr>
              <w:rPr>
                <w:lang w:val="en-US"/>
              </w:rPr>
            </w:pPr>
            <w:r w:rsidRPr="00D828AD">
              <w:rPr>
                <w:lang w:val="en-US"/>
              </w:rPr>
              <w:t xml:space="preserve">Vachek, Josef (1964). A Prague School Reader in Linguistics. Bloomington: Indiana University Press. </w:t>
            </w:r>
          </w:p>
          <w:p w14:paraId="2DB66DE1" w14:textId="77777777" w:rsidR="005B2BBA" w:rsidRDefault="005B2BBA" w:rsidP="005B2BBA">
            <w:r w:rsidRPr="00D828AD">
              <w:rPr>
                <w:lang w:val="en-US"/>
              </w:rPr>
              <w:t>or any other books on the analysed topics that are currently available</w:t>
            </w:r>
          </w:p>
        </w:tc>
      </w:tr>
    </w:tbl>
    <w:p w14:paraId="2226F76A" w14:textId="3DF11A46" w:rsidR="00351ACC" w:rsidRPr="005B2BBA" w:rsidRDefault="00351ACC" w:rsidP="005B2BBA"/>
    <w:sectPr w:rsidR="00351ACC" w:rsidRPr="005B2BB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F927B5" w14:textId="77777777" w:rsidR="00601FE6" w:rsidRDefault="00601FE6" w:rsidP="00BC1966">
      <w:pPr>
        <w:spacing w:after="0" w:line="240" w:lineRule="auto"/>
      </w:pPr>
      <w:r>
        <w:separator/>
      </w:r>
    </w:p>
  </w:endnote>
  <w:endnote w:type="continuationSeparator" w:id="0">
    <w:p w14:paraId="3009D867" w14:textId="77777777" w:rsidR="00601FE6" w:rsidRDefault="00601FE6" w:rsidP="00BC1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9188D7" w14:textId="77777777" w:rsidR="00601FE6" w:rsidRDefault="00601FE6" w:rsidP="00BC1966">
      <w:pPr>
        <w:spacing w:after="0" w:line="240" w:lineRule="auto"/>
      </w:pPr>
      <w:r>
        <w:separator/>
      </w:r>
    </w:p>
  </w:footnote>
  <w:footnote w:type="continuationSeparator" w:id="0">
    <w:p w14:paraId="7E02214A" w14:textId="77777777" w:rsidR="00601FE6" w:rsidRDefault="00601FE6" w:rsidP="00BC196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DD086" w14:textId="77777777" w:rsidR="00601FE6" w:rsidRDefault="00601FE6">
    <w:pPr>
      <w:pStyle w:val="Header"/>
    </w:pPr>
  </w:p>
  <w:p w14:paraId="1AC576F4" w14:textId="77777777" w:rsidR="00601FE6" w:rsidRDefault="00601FE6">
    <w:pPr>
      <w:pStyle w:val="Header"/>
    </w:pPr>
  </w:p>
  <w:p w14:paraId="2471330D" w14:textId="77777777" w:rsidR="00601FE6" w:rsidRDefault="00601FE6">
    <w:pPr>
      <w:pStyle w:val="Header"/>
    </w:pPr>
    <w:r w:rsidRPr="00BC1966">
      <w:rPr>
        <w:noProof/>
        <w:lang w:val="en-US"/>
      </w:rPr>
      <w:drawing>
        <wp:anchor distT="0" distB="0" distL="114300" distR="114300" simplePos="0" relativeHeight="251658240" behindDoc="1" locked="0" layoutInCell="1" allowOverlap="1" wp14:anchorId="5F232402" wp14:editId="62295C95">
          <wp:simplePos x="0" y="0"/>
          <wp:positionH relativeFrom="margin">
            <wp:posOffset>261620</wp:posOffset>
          </wp:positionH>
          <wp:positionV relativeFrom="margin">
            <wp:posOffset>2381250</wp:posOffset>
          </wp:positionV>
          <wp:extent cx="4619625" cy="4619625"/>
          <wp:effectExtent l="19050" t="0" r="28575" b="1323975"/>
          <wp:wrapSquare wrapText="bothSides"/>
          <wp:docPr id="1" name="Obrázok 1" descr="http://hsci2013.info/sitefiles/image/photogallery/201210/logo-upjs-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sci2013.info/sitefiles/image/photogallery/201210/logo-upjs-cb.jpg"/>
                  <pic:cNvPicPr>
                    <a:picLocks noChangeAspect="1" noChangeArrowheads="1"/>
                  </pic:cNvPicPr>
                </pic:nvPicPr>
                <pic:blipFill>
                  <a:blip r:embed="rId1" cstate="print">
                    <a:extLst>
                      <a:ext uri="{BEBA8EAE-BF5A-486C-A8C5-ECC9F3942E4B}">
                        <a14:imgProps xmlns:a14="http://schemas.microsoft.com/office/drawing/2010/main">
                          <a14:imgLayer r:embed="rId2">
                            <a14:imgEffect>
                              <a14:sharpenSoften amount="3000"/>
                            </a14:imgEffect>
                            <a14:imgEffect>
                              <a14:brightnessContrast bright="77000" contrast="23000"/>
                            </a14:imgEffect>
                          </a14:imgLayer>
                        </a14:imgProps>
                      </a:ext>
                      <a:ext uri="{28A0092B-C50C-407E-A947-70E740481C1C}">
                        <a14:useLocalDpi xmlns:a14="http://schemas.microsoft.com/office/drawing/2010/main" val="0"/>
                      </a:ext>
                    </a:extLst>
                  </a:blip>
                  <a:srcRect/>
                  <a:stretch>
                    <a:fillRect/>
                  </a:stretch>
                </pic:blipFill>
                <pic:spPr bwMode="auto">
                  <a:xfrm>
                    <a:off x="0" y="0"/>
                    <a:ext cx="4619625" cy="46196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966"/>
    <w:rsid w:val="000043CF"/>
    <w:rsid w:val="00101D34"/>
    <w:rsid w:val="001E0205"/>
    <w:rsid w:val="001E6EBD"/>
    <w:rsid w:val="00232A4D"/>
    <w:rsid w:val="002A551C"/>
    <w:rsid w:val="002E6FAE"/>
    <w:rsid w:val="00346574"/>
    <w:rsid w:val="00351ACC"/>
    <w:rsid w:val="004920CC"/>
    <w:rsid w:val="004F3410"/>
    <w:rsid w:val="004F4EB0"/>
    <w:rsid w:val="004F6EF4"/>
    <w:rsid w:val="0051165B"/>
    <w:rsid w:val="00551A51"/>
    <w:rsid w:val="00554C17"/>
    <w:rsid w:val="005A039D"/>
    <w:rsid w:val="005B2BBA"/>
    <w:rsid w:val="00601FE6"/>
    <w:rsid w:val="00637623"/>
    <w:rsid w:val="006F1954"/>
    <w:rsid w:val="00706508"/>
    <w:rsid w:val="0074555E"/>
    <w:rsid w:val="00767F4F"/>
    <w:rsid w:val="00773802"/>
    <w:rsid w:val="00773E44"/>
    <w:rsid w:val="0077683A"/>
    <w:rsid w:val="007B14E7"/>
    <w:rsid w:val="007E2A0D"/>
    <w:rsid w:val="008538B3"/>
    <w:rsid w:val="008548C3"/>
    <w:rsid w:val="00A336F7"/>
    <w:rsid w:val="00AF7F33"/>
    <w:rsid w:val="00BA354A"/>
    <w:rsid w:val="00BC1966"/>
    <w:rsid w:val="00CA5FDE"/>
    <w:rsid w:val="00CB1E9D"/>
    <w:rsid w:val="00CB2E4B"/>
    <w:rsid w:val="00CF05E2"/>
    <w:rsid w:val="00D22756"/>
    <w:rsid w:val="00D45A95"/>
    <w:rsid w:val="00D50502"/>
    <w:rsid w:val="00D717A1"/>
    <w:rsid w:val="00D828AD"/>
    <w:rsid w:val="00E53795"/>
    <w:rsid w:val="00F34025"/>
    <w:rsid w:val="00F53AB9"/>
    <w:rsid w:val="00F6485A"/>
    <w:rsid w:val="00F73235"/>
    <w:rsid w:val="00F738B5"/>
    <w:rsid w:val="00F930CB"/>
    <w:rsid w:val="00F95A32"/>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07F6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19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19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1966"/>
  </w:style>
  <w:style w:type="paragraph" w:styleId="Footer">
    <w:name w:val="footer"/>
    <w:basedOn w:val="Normal"/>
    <w:link w:val="FooterChar"/>
    <w:uiPriority w:val="99"/>
    <w:unhideWhenUsed/>
    <w:rsid w:val="00BC19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196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19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19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1966"/>
  </w:style>
  <w:style w:type="paragraph" w:styleId="Footer">
    <w:name w:val="footer"/>
    <w:basedOn w:val="Normal"/>
    <w:link w:val="FooterChar"/>
    <w:uiPriority w:val="99"/>
    <w:unhideWhenUsed/>
    <w:rsid w:val="00BC19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19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microsoft.com/office/2007/relationships/hdphoto" Target="media/hdphoto1.wdp"/></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1919</Characters>
  <Application>Microsoft Macintosh Word</Application>
  <DocSecurity>0</DocSecurity>
  <Lines>15</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Viktória Giannakos</dc:creator>
  <cp:keywords/>
  <dc:description/>
  <cp:lastModifiedBy>Sisa a Tom</cp:lastModifiedBy>
  <cp:revision>2</cp:revision>
  <dcterms:created xsi:type="dcterms:W3CDTF">2015-06-01T04:26:00Z</dcterms:created>
  <dcterms:modified xsi:type="dcterms:W3CDTF">2015-06-01T04:26:00Z</dcterms:modified>
</cp:coreProperties>
</file>