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4C9" w:rsidRDefault="00E644C9" w:rsidP="00E644C9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 určovaní ceny veci: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Uhorské šľachtické obyčajové právo nepoužívalo pojem "cena", ale operovalo s pojmom "hodnota". 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Pravá hodnota (</w:t>
      </w:r>
      <w:proofErr w:type="spellStart"/>
      <w:r>
        <w:rPr>
          <w:rFonts w:ascii="Arial" w:hAnsi="Arial" w:cs="Arial"/>
          <w:i/>
          <w:sz w:val="24"/>
          <w:szCs w:val="24"/>
        </w:rPr>
        <w:t>aestimatio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condigna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bola cenou, za ktorú bolo možné určitú vec kúpiť a predať. Táto cena sa mohla meniť v závislosti od miesta a času. </w:t>
      </w:r>
      <w:r>
        <w:rPr>
          <w:rFonts w:ascii="Arial" w:hAnsi="Arial" w:cs="Arial"/>
          <w:i/>
          <w:sz w:val="24"/>
          <w:szCs w:val="24"/>
        </w:rPr>
        <w:t>Všeobecná hodnota (</w:t>
      </w:r>
      <w:proofErr w:type="spellStart"/>
      <w:r>
        <w:rPr>
          <w:rFonts w:ascii="Arial" w:hAnsi="Arial" w:cs="Arial"/>
          <w:i/>
          <w:sz w:val="24"/>
          <w:szCs w:val="24"/>
        </w:rPr>
        <w:t>aestimatio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communis)</w:t>
      </w:r>
      <w:r>
        <w:rPr>
          <w:rStyle w:val="Odkaznapoznmkupodiarou"/>
          <w:rFonts w:cs="Arial"/>
          <w:i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bola cena ustálená obyčajovým právom a zásadne nemenná. V Uhorsku takto boli určené ceny v Tripartite a niektorých zákonných článkoch pred ním</w:t>
      </w:r>
      <w:r>
        <w:rPr>
          <w:rStyle w:val="Odkaznapoznmkupodiarou"/>
          <w:rFonts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. Logicky teda vyplýva, že všeobecná hodnota musela byť cenou nižšou. Záväznou nebola vždy, len v nasledovných prípadoch: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 platení súdnych pokút (</w:t>
      </w:r>
      <w:proofErr w:type="spellStart"/>
      <w:r>
        <w:rPr>
          <w:rFonts w:ascii="Arial" w:hAnsi="Arial" w:cs="Arial"/>
          <w:sz w:val="24"/>
          <w:szCs w:val="24"/>
        </w:rPr>
        <w:t>birsagium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Style w:val="Odkaznapoznmkupodiarou"/>
          <w:rFonts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;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 náhradách škody  a súkromnoprávnych pokutách</w:t>
      </w:r>
      <w:r>
        <w:rPr>
          <w:rStyle w:val="Odkaznapoznmkupodiarou"/>
          <w:rFonts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;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 väčších násilnostiach ak žalovaný zomrel po začatí konania</w:t>
      </w:r>
      <w:r>
        <w:rPr>
          <w:rStyle w:val="Odkaznapoznmkupodiarou"/>
          <w:rFonts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>;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ak si niekto vyžiadal </w:t>
      </w:r>
      <w:proofErr w:type="spellStart"/>
      <w:r>
        <w:rPr>
          <w:rFonts w:ascii="Arial" w:hAnsi="Arial" w:cs="Arial"/>
          <w:sz w:val="24"/>
          <w:szCs w:val="24"/>
        </w:rPr>
        <w:t>nedevolvovaný</w:t>
      </w:r>
      <w:proofErr w:type="spellEnd"/>
      <w:r>
        <w:rPr>
          <w:rFonts w:ascii="Arial" w:hAnsi="Arial" w:cs="Arial"/>
          <w:sz w:val="24"/>
          <w:szCs w:val="24"/>
        </w:rPr>
        <w:t xml:space="preserve"> donačný majetok</w:t>
      </w:r>
      <w:r>
        <w:rPr>
          <w:rStyle w:val="Odkaznapoznmkupodiarou"/>
          <w:rFonts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>;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ak </w:t>
      </w:r>
      <w:proofErr w:type="spellStart"/>
      <w:r>
        <w:rPr>
          <w:rFonts w:ascii="Arial" w:hAnsi="Arial" w:cs="Arial"/>
          <w:sz w:val="24"/>
          <w:szCs w:val="24"/>
        </w:rPr>
        <w:t>donatár</w:t>
      </w:r>
      <w:proofErr w:type="spellEnd"/>
      <w:r>
        <w:rPr>
          <w:rFonts w:ascii="Arial" w:hAnsi="Arial" w:cs="Arial"/>
          <w:sz w:val="24"/>
          <w:szCs w:val="24"/>
        </w:rPr>
        <w:t xml:space="preserve"> bez ohľadu na to, že niekto obsadenie majetku napadol, zaujal donačný majetok</w:t>
      </w:r>
      <w:r>
        <w:rPr>
          <w:rStyle w:val="Odkaznapoznmkupodiarou"/>
          <w:rFonts w:cs="Arial"/>
          <w:sz w:val="24"/>
          <w:szCs w:val="24"/>
        </w:rPr>
        <w:footnoteReference w:id="7"/>
      </w:r>
      <w:r>
        <w:rPr>
          <w:rFonts w:ascii="Arial" w:hAnsi="Arial" w:cs="Arial"/>
          <w:sz w:val="24"/>
          <w:szCs w:val="24"/>
        </w:rPr>
        <w:t>;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pri výkupe majetkov exekvovaných na základe rozsudku smrti alebo plnenia </w:t>
      </w:r>
      <w:proofErr w:type="spellStart"/>
      <w:r>
        <w:rPr>
          <w:rFonts w:ascii="Arial" w:hAnsi="Arial" w:cs="Arial"/>
          <w:sz w:val="24"/>
          <w:szCs w:val="24"/>
        </w:rPr>
        <w:t>hommagia</w:t>
      </w:r>
      <w:proofErr w:type="spellEnd"/>
      <w:r>
        <w:rPr>
          <w:rStyle w:val="Odkaznapoznmkupodiarou"/>
          <w:rFonts w:cs="Arial"/>
          <w:sz w:val="24"/>
          <w:szCs w:val="24"/>
        </w:rPr>
        <w:footnoteReference w:id="8"/>
      </w:r>
      <w:r>
        <w:rPr>
          <w:rFonts w:ascii="Arial" w:hAnsi="Arial" w:cs="Arial"/>
          <w:sz w:val="24"/>
          <w:szCs w:val="24"/>
        </w:rPr>
        <w:t>;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 vyplácaní dievčenskej štvrtiny</w:t>
      </w:r>
      <w:r>
        <w:rPr>
          <w:rStyle w:val="Odkaznapoznmkupodiarou"/>
          <w:rFonts w:cs="Arial"/>
          <w:sz w:val="24"/>
          <w:szCs w:val="24"/>
        </w:rPr>
        <w:footnoteReference w:id="9"/>
      </w:r>
      <w:r>
        <w:rPr>
          <w:rFonts w:ascii="Arial" w:hAnsi="Arial" w:cs="Arial"/>
          <w:sz w:val="24"/>
          <w:szCs w:val="24"/>
        </w:rPr>
        <w:t>;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pri vyplácaní </w:t>
      </w:r>
      <w:proofErr w:type="spellStart"/>
      <w:r>
        <w:rPr>
          <w:rFonts w:ascii="Arial" w:hAnsi="Arial" w:cs="Arial"/>
          <w:sz w:val="24"/>
          <w:szCs w:val="24"/>
        </w:rPr>
        <w:t>obvenenia</w:t>
      </w:r>
      <w:proofErr w:type="spellEnd"/>
      <w:r>
        <w:rPr>
          <w:rStyle w:val="Odkaznapoznmkupodiarou"/>
          <w:rFonts w:cs="Arial"/>
          <w:sz w:val="24"/>
          <w:szCs w:val="24"/>
        </w:rPr>
        <w:footnoteReference w:id="10"/>
      </w:r>
      <w:r>
        <w:rPr>
          <w:rFonts w:ascii="Arial" w:hAnsi="Arial" w:cs="Arial"/>
          <w:sz w:val="24"/>
          <w:szCs w:val="24"/>
        </w:rPr>
        <w:t>;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pri kúpnej zmluve v prípade predaja časti rodinného </w:t>
      </w:r>
      <w:proofErr w:type="spellStart"/>
      <w:r>
        <w:rPr>
          <w:rFonts w:ascii="Arial" w:hAnsi="Arial" w:cs="Arial"/>
          <w:sz w:val="24"/>
          <w:szCs w:val="24"/>
        </w:rPr>
        <w:t>nedielu</w:t>
      </w:r>
      <w:proofErr w:type="spellEnd"/>
      <w:r>
        <w:rPr>
          <w:rFonts w:ascii="Arial" w:hAnsi="Arial" w:cs="Arial"/>
          <w:sz w:val="24"/>
          <w:szCs w:val="24"/>
        </w:rPr>
        <w:t xml:space="preserve"> bez správneho dôvodu na základe práva príbuzného na vrátenie ceny predaného podielu</w:t>
      </w:r>
      <w:r>
        <w:rPr>
          <w:rStyle w:val="Odkaznapoznmkupodiarou"/>
          <w:rFonts w:cs="Arial"/>
          <w:sz w:val="24"/>
          <w:szCs w:val="24"/>
        </w:rPr>
        <w:footnoteReference w:id="11"/>
      </w:r>
      <w:r>
        <w:rPr>
          <w:rFonts w:ascii="Arial" w:hAnsi="Arial" w:cs="Arial"/>
          <w:sz w:val="24"/>
          <w:szCs w:val="24"/>
        </w:rPr>
        <w:t>.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Vidíme teda, že všeobecná hodnota majetku sa v prípade uzavretia kúpnej zmluvy mohla uplatniť len v dvoch prípadoch. V oboch prípadoch ide o scudzenie šľachtických pozemkov a všeobecná hodnota tu plní akúsi poistku toho, aby majetok ostal v rodine.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Tretím typom ceny je </w:t>
      </w:r>
      <w:r>
        <w:rPr>
          <w:rFonts w:ascii="Arial" w:hAnsi="Arial" w:cs="Arial"/>
          <w:i/>
          <w:sz w:val="24"/>
          <w:szCs w:val="24"/>
        </w:rPr>
        <w:t>večná hodnota (</w:t>
      </w:r>
      <w:proofErr w:type="spellStart"/>
      <w:r>
        <w:rPr>
          <w:rFonts w:ascii="Arial" w:hAnsi="Arial" w:cs="Arial"/>
          <w:i/>
          <w:sz w:val="24"/>
          <w:szCs w:val="24"/>
        </w:rPr>
        <w:t>aestimatio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perrennalis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  <w:r>
        <w:rPr>
          <w:rStyle w:val="Odkaznapoznmkupodiarou"/>
          <w:rFonts w:cs="Arial"/>
          <w:i/>
          <w:sz w:val="24"/>
          <w:szCs w:val="24"/>
        </w:rPr>
        <w:footnoteReference w:id="12"/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Toto ocenenie sa využívalo len pri nehnuteľnostiach, ak sa zmluvné strany dohodli na jej použití</w:t>
      </w:r>
      <w:r>
        <w:rPr>
          <w:rStyle w:val="Odkaznapoznmkupodiarou"/>
          <w:rFonts w:cs="Arial"/>
          <w:sz w:val="24"/>
          <w:szCs w:val="24"/>
        </w:rPr>
        <w:footnoteReference w:id="13"/>
      </w:r>
      <w:r>
        <w:rPr>
          <w:rFonts w:ascii="Arial" w:hAnsi="Arial" w:cs="Arial"/>
          <w:sz w:val="24"/>
          <w:szCs w:val="24"/>
        </w:rPr>
        <w:t>, alebo ak to ustanovil zákon alebo obyčaj pre prípady zaplatenia pokuty za protiprávne nadobudnutie vlastníctva k cudziemu majetku</w:t>
      </w:r>
      <w:r>
        <w:rPr>
          <w:rStyle w:val="Odkaznapoznmkupodiarou"/>
          <w:rFonts w:cs="Arial"/>
          <w:sz w:val="24"/>
          <w:szCs w:val="24"/>
        </w:rPr>
        <w:footnoteReference w:id="14"/>
      </w:r>
      <w:r>
        <w:rPr>
          <w:rFonts w:ascii="Arial" w:hAnsi="Arial" w:cs="Arial"/>
          <w:sz w:val="24"/>
          <w:szCs w:val="24"/>
        </w:rPr>
        <w:t xml:space="preserve">. Naopak pri hnuteľnostiach Tripartitum pozná tzv. </w:t>
      </w:r>
      <w:r>
        <w:rPr>
          <w:rFonts w:ascii="Arial" w:hAnsi="Arial" w:cs="Arial"/>
          <w:i/>
          <w:sz w:val="24"/>
          <w:szCs w:val="24"/>
        </w:rPr>
        <w:t>trhovú hodnotu (</w:t>
      </w:r>
      <w:proofErr w:type="spellStart"/>
      <w:r>
        <w:rPr>
          <w:rFonts w:ascii="Arial" w:hAnsi="Arial" w:cs="Arial"/>
          <w:i/>
          <w:sz w:val="24"/>
          <w:szCs w:val="24"/>
        </w:rPr>
        <w:t>valor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competens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  <w:r>
        <w:rPr>
          <w:rStyle w:val="Odkaznapoznmkupodiarou"/>
          <w:rFonts w:cs="Arial"/>
          <w:i/>
          <w:sz w:val="24"/>
          <w:szCs w:val="24"/>
        </w:rPr>
        <w:footnoteReference w:id="15"/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Táto cena bola predchodcom tzv. </w:t>
      </w:r>
      <w:r>
        <w:rPr>
          <w:rFonts w:ascii="Arial" w:hAnsi="Arial" w:cs="Arial"/>
          <w:i/>
          <w:sz w:val="24"/>
          <w:szCs w:val="24"/>
        </w:rPr>
        <w:t>hodnoty primeranej (</w:t>
      </w:r>
      <w:proofErr w:type="spellStart"/>
      <w:r>
        <w:rPr>
          <w:rFonts w:ascii="Arial" w:hAnsi="Arial" w:cs="Arial"/>
          <w:i/>
          <w:sz w:val="24"/>
          <w:szCs w:val="24"/>
        </w:rPr>
        <w:t>aestimatio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iusta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ktorú zaviedlo definitívne až právo v 18. storočí. Po zavedení tohto typu ceny sa prestala používať hodnota pravá i všeobecná, zachovala sa však hodnota večná. </w:t>
      </w:r>
    </w:p>
    <w:p w:rsidR="00E644C9" w:rsidRDefault="00E644C9" w:rsidP="00E644C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Okrem týchto spôsobov ohodnocovania poznalo feudálne šľachtické právo ešte </w:t>
      </w:r>
      <w:r>
        <w:rPr>
          <w:rFonts w:ascii="Arial" w:hAnsi="Arial" w:cs="Arial"/>
          <w:i/>
          <w:sz w:val="24"/>
          <w:szCs w:val="24"/>
        </w:rPr>
        <w:t>subjektívnu hodnotu (</w:t>
      </w:r>
      <w:proofErr w:type="spellStart"/>
      <w:r>
        <w:rPr>
          <w:rFonts w:ascii="Arial" w:hAnsi="Arial" w:cs="Arial"/>
          <w:i/>
          <w:sz w:val="24"/>
          <w:szCs w:val="24"/>
        </w:rPr>
        <w:t>interesse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singulare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ratione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utilitatis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specialis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aestimatio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ktorú mala vec pre určitú osobu vzhľadom na osobné okolnosti týkajúce sa pomeru osoby k veci; a tzv. </w:t>
      </w:r>
      <w:r>
        <w:rPr>
          <w:rFonts w:ascii="Arial" w:hAnsi="Arial" w:cs="Arial"/>
          <w:i/>
          <w:sz w:val="24"/>
          <w:szCs w:val="24"/>
        </w:rPr>
        <w:t>hodnotu obľuby (</w:t>
      </w:r>
      <w:proofErr w:type="spellStart"/>
      <w:r>
        <w:rPr>
          <w:rFonts w:ascii="Arial" w:hAnsi="Arial" w:cs="Arial"/>
          <w:i/>
          <w:sz w:val="24"/>
          <w:szCs w:val="24"/>
        </w:rPr>
        <w:t>pretium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affectionis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interesse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singulare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ratione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affectionis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ktorú mala vec pre určitú osobu len z dôvodu osobnej náklonnosti. </w:t>
      </w:r>
    </w:p>
    <w:p w:rsidR="00E644C9" w:rsidRPr="0068280B" w:rsidRDefault="00E644C9" w:rsidP="00E644C9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A86F71" w:rsidRDefault="00A86F71"/>
    <w:sectPr w:rsidR="00A86F71" w:rsidSect="0038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556A" w:rsidRDefault="0035556A" w:rsidP="00E644C9">
      <w:pPr>
        <w:spacing w:after="0" w:line="240" w:lineRule="auto"/>
      </w:pPr>
      <w:r>
        <w:separator/>
      </w:r>
    </w:p>
  </w:endnote>
  <w:endnote w:type="continuationSeparator" w:id="0">
    <w:p w:rsidR="0035556A" w:rsidRDefault="0035556A" w:rsidP="00E6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556A" w:rsidRDefault="0035556A" w:rsidP="00E644C9">
      <w:pPr>
        <w:spacing w:after="0" w:line="240" w:lineRule="auto"/>
      </w:pPr>
      <w:r>
        <w:separator/>
      </w:r>
    </w:p>
  </w:footnote>
  <w:footnote w:type="continuationSeparator" w:id="0">
    <w:p w:rsidR="0035556A" w:rsidRDefault="0035556A" w:rsidP="00E644C9">
      <w:pPr>
        <w:spacing w:after="0" w:line="240" w:lineRule="auto"/>
      </w:pPr>
      <w:r>
        <w:continuationSeparator/>
      </w:r>
    </w:p>
  </w:footnote>
  <w:footnote w:id="1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Tripartitum</w:t>
      </w:r>
      <w:proofErr w:type="spellEnd"/>
      <w:r>
        <w:t>, I/134 § 3 a 5.</w:t>
      </w:r>
    </w:p>
  </w:footnote>
  <w:footnote w:id="2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Tripartitum</w:t>
      </w:r>
      <w:proofErr w:type="spellEnd"/>
      <w:r>
        <w:t xml:space="preserve">, I/133. </w:t>
      </w:r>
    </w:p>
  </w:footnote>
  <w:footnote w:id="3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Tripartitum</w:t>
      </w:r>
      <w:proofErr w:type="spellEnd"/>
      <w:r>
        <w:t>, I/134, § 1.</w:t>
      </w:r>
    </w:p>
  </w:footnote>
  <w:footnote w:id="4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Tamtiež</w:t>
      </w:r>
      <w:proofErr w:type="spellEnd"/>
      <w:r>
        <w:t>.</w:t>
      </w:r>
    </w:p>
  </w:footnote>
  <w:footnote w:id="5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Tripartitum</w:t>
      </w:r>
      <w:proofErr w:type="spellEnd"/>
      <w:r>
        <w:t>, II/61.</w:t>
      </w:r>
    </w:p>
  </w:footnote>
  <w:footnote w:id="6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Zák. čl. 24/1439, 11/1464, 62/1492.</w:t>
      </w:r>
    </w:p>
  </w:footnote>
  <w:footnote w:id="7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Zák. čl. 22/1486, 59/1492.</w:t>
      </w:r>
    </w:p>
  </w:footnote>
  <w:footnote w:id="8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Tripartitum</w:t>
      </w:r>
      <w:proofErr w:type="spellEnd"/>
      <w:r>
        <w:t>, II/43, § 1.</w:t>
      </w:r>
    </w:p>
  </w:footnote>
  <w:footnote w:id="9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Tripartitum</w:t>
      </w:r>
      <w:proofErr w:type="spellEnd"/>
      <w:r>
        <w:t>, I/134, § 2.</w:t>
      </w:r>
    </w:p>
  </w:footnote>
  <w:footnote w:id="10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Tripartitum</w:t>
      </w:r>
      <w:proofErr w:type="spellEnd"/>
      <w:r>
        <w:t xml:space="preserve"> I/134, § 3.</w:t>
      </w:r>
    </w:p>
  </w:footnote>
  <w:footnote w:id="11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Tripartitum</w:t>
      </w:r>
      <w:proofErr w:type="spellEnd"/>
      <w:r>
        <w:t>, I/61.</w:t>
      </w:r>
    </w:p>
  </w:footnote>
  <w:footnote w:id="12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Tripartitum</w:t>
      </w:r>
      <w:proofErr w:type="spellEnd"/>
      <w:r>
        <w:t xml:space="preserve">, I/133, § </w:t>
      </w:r>
      <w:proofErr w:type="gramStart"/>
      <w:r>
        <w:t>3 - 5</w:t>
      </w:r>
      <w:proofErr w:type="gramEnd"/>
      <w:r>
        <w:t>.</w:t>
      </w:r>
    </w:p>
  </w:footnote>
  <w:footnote w:id="13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Tripartitum</w:t>
      </w:r>
      <w:proofErr w:type="spellEnd"/>
      <w:r>
        <w:t>, I/133, § 5.</w:t>
      </w:r>
    </w:p>
  </w:footnote>
  <w:footnote w:id="14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Tripartitum</w:t>
      </w:r>
      <w:proofErr w:type="spellEnd"/>
      <w:r>
        <w:t>, I/25, zák. čl. 45/1563.</w:t>
      </w:r>
    </w:p>
  </w:footnote>
  <w:footnote w:id="15">
    <w:p w:rsidR="00E644C9" w:rsidRDefault="00E644C9" w:rsidP="00E644C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Tripartitum</w:t>
      </w:r>
      <w:proofErr w:type="spellEnd"/>
      <w:r>
        <w:t>, I/133, § 46; I/134, § 3 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C9"/>
    <w:rsid w:val="0035556A"/>
    <w:rsid w:val="00A86F71"/>
    <w:rsid w:val="00E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BE21-721E-4A2E-8E73-1B9F34D6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44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E644C9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44C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Štenpien</dc:creator>
  <cp:keywords/>
  <dc:description/>
  <cp:lastModifiedBy>Erik Štenpien</cp:lastModifiedBy>
  <cp:revision>1</cp:revision>
  <dcterms:created xsi:type="dcterms:W3CDTF">2020-04-26T15:25:00Z</dcterms:created>
  <dcterms:modified xsi:type="dcterms:W3CDTF">2020-04-26T15:26:00Z</dcterms:modified>
</cp:coreProperties>
</file>