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RPr="00646DA4" w14:paraId="371F0372" w14:textId="77777777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EB3E9D9" w14:textId="77777777" w:rsidR="00BC1966" w:rsidRPr="00323BBC" w:rsidRDefault="00BC1966" w:rsidP="00BC1966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323BBC">
              <w:rPr>
                <w:rFonts w:ascii="Book Antiqua" w:hAnsi="Book Antiqua"/>
                <w:b/>
                <w:sz w:val="32"/>
                <w:szCs w:val="32"/>
                <w:lang w:val="en-US"/>
              </w:rPr>
              <w:t>General Information</w:t>
            </w:r>
          </w:p>
        </w:tc>
      </w:tr>
      <w:tr w:rsidR="00646DA4" w:rsidRPr="00646DA4" w14:paraId="727167B0" w14:textId="77777777" w:rsidTr="00BC1966">
        <w:trPr>
          <w:trHeight w:val="501"/>
        </w:trPr>
        <w:tc>
          <w:tcPr>
            <w:tcW w:w="2118" w:type="dxa"/>
            <w:vMerge w:val="restart"/>
          </w:tcPr>
          <w:p w14:paraId="3BD40F8B" w14:textId="77777777" w:rsidR="00646DA4" w:rsidRPr="00323BBC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323BBC">
              <w:rPr>
                <w:rFonts w:ascii="Book Antiqua" w:hAnsi="Book Antiqua"/>
                <w:b/>
                <w:lang w:val="en-US"/>
              </w:rPr>
              <w:t>Course name</w:t>
            </w:r>
          </w:p>
          <w:p w14:paraId="51652D3F" w14:textId="77777777" w:rsidR="00646DA4" w:rsidRPr="00323BBC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980" w:type="dxa"/>
            <w:vMerge w:val="restart"/>
          </w:tcPr>
          <w:p w14:paraId="3185BD5A" w14:textId="77777777" w:rsidR="00646DA4" w:rsidRPr="00323BBC" w:rsidRDefault="001216C9" w:rsidP="00646DA4">
            <w:pPr>
              <w:rPr>
                <w:rFonts w:ascii="Book Antiqua" w:hAnsi="Book Antiqua"/>
                <w:b/>
                <w:lang w:val="en-US"/>
              </w:rPr>
            </w:pPr>
            <w:r w:rsidRPr="00323BBC">
              <w:rPr>
                <w:rFonts w:ascii="Book Antiqua" w:hAnsi="Book Antiqua"/>
                <w:b/>
                <w:lang w:val="en-US"/>
              </w:rPr>
              <w:t>KPO/SOPO/15</w:t>
            </w:r>
            <w:r w:rsidR="00646DA4" w:rsidRPr="00323BBC">
              <w:rPr>
                <w:rFonts w:ascii="Book Antiqua" w:hAnsi="Book Antiqua"/>
                <w:b/>
                <w:lang w:val="en-US"/>
              </w:rPr>
              <w:tab/>
            </w:r>
          </w:p>
          <w:p w14:paraId="72BDFC03" w14:textId="77777777" w:rsidR="007E2306" w:rsidRPr="00323BBC" w:rsidRDefault="001216C9" w:rsidP="00646DA4">
            <w:pPr>
              <w:rPr>
                <w:rFonts w:ascii="Book Antiqua" w:hAnsi="Book Antiqua"/>
                <w:b/>
                <w:lang w:val="en-US"/>
              </w:rPr>
            </w:pPr>
            <w:r w:rsidRPr="00323BBC">
              <w:rPr>
                <w:rFonts w:ascii="Book Antiqua" w:hAnsi="Book Antiqua"/>
                <w:b/>
                <w:lang w:val="en-US"/>
              </w:rPr>
              <w:t>Social</w:t>
            </w:r>
            <w:r w:rsidR="006A5BD0" w:rsidRPr="00323BBC">
              <w:rPr>
                <w:rFonts w:ascii="Book Antiqua" w:hAnsi="Book Antiqua"/>
                <w:b/>
                <w:lang w:val="en-US"/>
              </w:rPr>
              <w:t xml:space="preserve"> Welfare</w:t>
            </w:r>
            <w:r w:rsidRPr="00323BBC">
              <w:rPr>
                <w:rFonts w:ascii="Book Antiqua" w:hAnsi="Book Antiqua"/>
                <w:b/>
                <w:lang w:val="en-US"/>
              </w:rPr>
              <w:t xml:space="preserve"> Policy</w:t>
            </w:r>
          </w:p>
        </w:tc>
        <w:tc>
          <w:tcPr>
            <w:tcW w:w="1257" w:type="dxa"/>
          </w:tcPr>
          <w:p w14:paraId="7D79E284" w14:textId="77777777" w:rsidR="00646DA4" w:rsidRPr="00323BBC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323BBC">
              <w:rPr>
                <w:rFonts w:ascii="Book Antiqua" w:hAnsi="Book Antiqua"/>
                <w:b/>
                <w:lang w:val="en-US"/>
              </w:rPr>
              <w:t>ECTS Credits</w:t>
            </w:r>
          </w:p>
        </w:tc>
        <w:tc>
          <w:tcPr>
            <w:tcW w:w="2121" w:type="dxa"/>
          </w:tcPr>
          <w:p w14:paraId="47F3E3A7" w14:textId="77777777" w:rsidR="00646DA4" w:rsidRPr="00323BBC" w:rsidRDefault="001216C9" w:rsidP="00646DA4">
            <w:pPr>
              <w:rPr>
                <w:rFonts w:ascii="Book Antiqua" w:hAnsi="Book Antiqua"/>
                <w:b/>
                <w:lang w:val="en-US"/>
              </w:rPr>
            </w:pPr>
            <w:r w:rsidRPr="00323BBC">
              <w:rPr>
                <w:rFonts w:ascii="Book Antiqua" w:hAnsi="Book Antiqua"/>
                <w:b/>
                <w:lang w:val="en-US"/>
              </w:rPr>
              <w:t>4</w:t>
            </w:r>
          </w:p>
        </w:tc>
      </w:tr>
      <w:tr w:rsidR="00646DA4" w:rsidRPr="00646DA4" w14:paraId="25CA848E" w14:textId="77777777" w:rsidTr="00BC1966">
        <w:trPr>
          <w:trHeight w:val="501"/>
        </w:trPr>
        <w:tc>
          <w:tcPr>
            <w:tcW w:w="2118" w:type="dxa"/>
            <w:vMerge/>
          </w:tcPr>
          <w:p w14:paraId="03A3CBF8" w14:textId="77777777" w:rsidR="00646DA4" w:rsidRPr="00323BBC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980" w:type="dxa"/>
            <w:vMerge/>
          </w:tcPr>
          <w:p w14:paraId="3DD4947A" w14:textId="77777777" w:rsidR="00646DA4" w:rsidRPr="00323BBC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257" w:type="dxa"/>
          </w:tcPr>
          <w:p w14:paraId="1F50ECAE" w14:textId="77777777" w:rsidR="00646DA4" w:rsidRPr="00323BBC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323BBC">
              <w:rPr>
                <w:rFonts w:ascii="Book Antiqua" w:hAnsi="Book Antiqua"/>
                <w:b/>
                <w:lang w:val="en-US"/>
              </w:rPr>
              <w:t>Semester</w:t>
            </w:r>
          </w:p>
        </w:tc>
        <w:tc>
          <w:tcPr>
            <w:tcW w:w="2121" w:type="dxa"/>
          </w:tcPr>
          <w:p w14:paraId="7E949950" w14:textId="00A09BCC" w:rsidR="00646DA4" w:rsidRPr="00323BBC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323BBC">
              <w:rPr>
                <w:rFonts w:ascii="Book Antiqua" w:hAnsi="Book Antiqua"/>
                <w:b/>
                <w:lang w:val="en-US"/>
              </w:rPr>
              <w:t>S</w:t>
            </w:r>
            <w:r w:rsidR="00C72562">
              <w:rPr>
                <w:rFonts w:ascii="Book Antiqua" w:hAnsi="Book Antiqua"/>
                <w:b/>
                <w:lang w:val="en-US"/>
              </w:rPr>
              <w:t>ummer</w:t>
            </w:r>
            <w:r w:rsidR="0067577D">
              <w:rPr>
                <w:rFonts w:ascii="Book Antiqua" w:hAnsi="Book Antiqua"/>
                <w:b/>
                <w:lang w:val="en-US"/>
              </w:rPr>
              <w:t xml:space="preserve"> (MA)</w:t>
            </w:r>
          </w:p>
        </w:tc>
      </w:tr>
      <w:tr w:rsidR="00646DA4" w:rsidRPr="00646DA4" w14:paraId="3043E646" w14:textId="77777777" w:rsidTr="00BC1966">
        <w:trPr>
          <w:trHeight w:val="231"/>
        </w:trPr>
        <w:tc>
          <w:tcPr>
            <w:tcW w:w="8476" w:type="dxa"/>
            <w:gridSpan w:val="4"/>
          </w:tcPr>
          <w:p w14:paraId="654C040A" w14:textId="77777777" w:rsidR="00646DA4" w:rsidRPr="00257E72" w:rsidRDefault="00646DA4" w:rsidP="00646DA4">
            <w:pPr>
              <w:rPr>
                <w:lang w:val="en-US"/>
              </w:rPr>
            </w:pPr>
          </w:p>
        </w:tc>
      </w:tr>
      <w:tr w:rsidR="00646DA4" w:rsidRPr="00646DA4" w14:paraId="09151FB1" w14:textId="77777777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7E5E1D3" w14:textId="75B792CD" w:rsidR="00646DA4" w:rsidRPr="00323BBC" w:rsidRDefault="002C5AA0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2C5AA0">
              <w:rPr>
                <w:rFonts w:ascii="Book Antiqua" w:hAnsi="Book Antiqua"/>
                <w:b/>
                <w:sz w:val="32"/>
                <w:szCs w:val="32"/>
                <w:lang w:val="en-US"/>
              </w:rPr>
              <w:t>Learning outcomes</w:t>
            </w:r>
          </w:p>
        </w:tc>
      </w:tr>
      <w:tr w:rsidR="00646DA4" w:rsidRPr="00CC6657" w14:paraId="6B4CD4DA" w14:textId="77777777" w:rsidTr="00BC1966">
        <w:trPr>
          <w:trHeight w:val="3670"/>
        </w:trPr>
        <w:tc>
          <w:tcPr>
            <w:tcW w:w="8476" w:type="dxa"/>
            <w:gridSpan w:val="4"/>
          </w:tcPr>
          <w:p w14:paraId="0A6D7A15" w14:textId="77777777" w:rsidR="004C35A9" w:rsidRPr="00257E72" w:rsidRDefault="004C35A9" w:rsidP="00646DA4">
            <w:pPr>
              <w:jc w:val="both"/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Annotation:</w:t>
            </w:r>
          </w:p>
          <w:p w14:paraId="24F1349F" w14:textId="77777777" w:rsidR="00257E72" w:rsidRPr="00257E72" w:rsidRDefault="00257E72" w:rsidP="00257E72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>The course offers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theoretical and prescriptive overview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 including its characterization, typology, historical development and current legal status of welfare state as a surety that conducts a social policy. The course deals with particular problems referred to conducting and performing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politics </w:t>
            </w:r>
            <w:r w:rsidR="00682DA0">
              <w:rPr>
                <w:rFonts w:ascii="Book Antiqua" w:hAnsi="Book Antiqua"/>
                <w:sz w:val="24"/>
                <w:szCs w:val="24"/>
                <w:lang w:val="en-US"/>
              </w:rPr>
              <w:t>in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the age of globalization in the world and Slovakia as well. Through interactive discussion it search</w:t>
            </w:r>
            <w:r w:rsidR="00E33FD7">
              <w:rPr>
                <w:rFonts w:ascii="Book Antiqua" w:hAnsi="Book Antiqua"/>
                <w:sz w:val="24"/>
                <w:szCs w:val="24"/>
                <w:lang w:val="en-US"/>
              </w:rPr>
              <w:t>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s </w:t>
            </w:r>
            <w:r w:rsidR="00415CC1">
              <w:rPr>
                <w:rFonts w:ascii="Book Antiqua" w:hAnsi="Book Antiqua"/>
                <w:sz w:val="24"/>
                <w:szCs w:val="24"/>
                <w:lang w:val="en-US"/>
              </w:rPr>
              <w:t>the</w:t>
            </w:r>
            <w:r w:rsidR="00E33FD7">
              <w:rPr>
                <w:rFonts w:ascii="Book Antiqua" w:hAnsi="Book Antiqua"/>
                <w:sz w:val="24"/>
                <w:szCs w:val="24"/>
                <w:lang w:val="en-US"/>
              </w:rPr>
              <w:t xml:space="preserve"> appropriate solution</w:t>
            </w:r>
            <w:r w:rsidR="00415CC1">
              <w:rPr>
                <w:rFonts w:ascii="Book Antiqua" w:hAnsi="Book Antiqua"/>
                <w:sz w:val="24"/>
                <w:szCs w:val="24"/>
                <w:lang w:val="en-US"/>
              </w:rPr>
              <w:t>s</w:t>
            </w:r>
            <w:r w:rsidR="00E33FD7">
              <w:rPr>
                <w:rFonts w:ascii="Book Antiqua" w:hAnsi="Book Antiqua"/>
                <w:sz w:val="24"/>
                <w:szCs w:val="24"/>
                <w:lang w:val="en-US"/>
              </w:rPr>
              <w:t xml:space="preserve"> of those problems.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  <w:p w14:paraId="547C8C0E" w14:textId="77777777" w:rsidR="00257E72" w:rsidRPr="00257E72" w:rsidRDefault="00257E72" w:rsidP="00646DA4">
            <w:pPr>
              <w:jc w:val="both"/>
              <w:rPr>
                <w:rFonts w:ascii="BookAntiqua" w:hAnsi="BookAntiqua" w:cs="BookAntiqua"/>
                <w:sz w:val="24"/>
                <w:szCs w:val="24"/>
                <w:lang w:val="en-US"/>
              </w:rPr>
            </w:pPr>
          </w:p>
          <w:p w14:paraId="4915DC30" w14:textId="77777777" w:rsidR="00646DA4" w:rsidRPr="00257E72" w:rsidRDefault="005C7FF4" w:rsidP="00646DA4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Advancement of </w:t>
            </w:r>
            <w:r w:rsidR="003549D4" w:rsidRPr="00257E72">
              <w:rPr>
                <w:rFonts w:ascii="Book Antiqua" w:hAnsi="Book Antiqua"/>
                <w:i/>
                <w:sz w:val="24"/>
                <w:szCs w:val="24"/>
                <w:lang w:val="en-US"/>
              </w:rPr>
              <w:t>knowledge</w:t>
            </w:r>
            <w:r w:rsidRPr="00257E72">
              <w:rPr>
                <w:rFonts w:ascii="Book Antiqua" w:hAnsi="Book Antiqua"/>
                <w:i/>
                <w:sz w:val="24"/>
                <w:szCs w:val="24"/>
                <w:lang w:val="en-US"/>
              </w:rPr>
              <w:t>:</w:t>
            </w:r>
          </w:p>
          <w:p w14:paraId="66ACF4E0" w14:textId="77777777" w:rsidR="005C7FF4" w:rsidRPr="00257E72" w:rsidRDefault="005C7FF4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The </w:t>
            </w:r>
            <w:r w:rsidR="003549D4" w:rsidRPr="00257E72">
              <w:rPr>
                <w:rFonts w:ascii="Book Antiqua" w:hAnsi="Book Antiqua"/>
                <w:iCs/>
                <w:sz w:val="24"/>
                <w:szCs w:val="24"/>
                <w:lang w:val="en-US"/>
              </w:rPr>
              <w:t>knowledge</w:t>
            </w:r>
            <w:r w:rsidRPr="00257E72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of</w:t>
            </w:r>
            <w:r w:rsidR="00682DA0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theoretical solutions related with </w:t>
            </w:r>
            <w:r w:rsidR="00B64163">
              <w:rPr>
                <w:rFonts w:ascii="Book Antiqua" w:hAnsi="Book Antiqua"/>
                <w:iCs/>
                <w:sz w:val="24"/>
                <w:szCs w:val="24"/>
                <w:lang w:val="en-US"/>
              </w:rPr>
              <w:t>making</w:t>
            </w:r>
            <w:r w:rsidR="00682DA0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and implementation of social</w:t>
            </w:r>
            <w:r w:rsidR="002D3639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welfare</w:t>
            </w:r>
            <w:r w:rsidR="00682DA0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polic</w:t>
            </w:r>
            <w:r w:rsidR="00B64163">
              <w:rPr>
                <w:rFonts w:ascii="Book Antiqua" w:hAnsi="Book Antiqua"/>
                <w:iCs/>
                <w:sz w:val="24"/>
                <w:szCs w:val="24"/>
                <w:lang w:val="en-US"/>
              </w:rPr>
              <w:t>y</w:t>
            </w:r>
            <w:r w:rsidR="00682DA0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in</w:t>
            </w:r>
            <w:r w:rsidR="00415CC1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the</w:t>
            </w:r>
            <w:r w:rsidR="00682DA0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era of globalization. </w:t>
            </w:r>
          </w:p>
          <w:p w14:paraId="143B349B" w14:textId="77777777" w:rsidR="00B00B70" w:rsidRPr="00257E72" w:rsidRDefault="00B00B70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3E5DE21E" w14:textId="77777777" w:rsidR="003549D4" w:rsidRPr="00257E72" w:rsidRDefault="003549D4" w:rsidP="00646DA4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Advancement of </w:t>
            </w:r>
            <w:r w:rsidR="005D5595" w:rsidRPr="00257E72">
              <w:rPr>
                <w:rFonts w:ascii="Book Antiqua" w:hAnsi="Book Antiqua"/>
                <w:i/>
                <w:sz w:val="24"/>
                <w:szCs w:val="24"/>
                <w:lang w:val="en-US"/>
              </w:rPr>
              <w:t>capabilities and skills:</w:t>
            </w:r>
          </w:p>
          <w:p w14:paraId="2679686B" w14:textId="77777777" w:rsidR="00CF19C4" w:rsidRDefault="00B64163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Cs/>
                <w:sz w:val="24"/>
                <w:szCs w:val="24"/>
                <w:lang w:val="en-US"/>
              </w:rPr>
              <w:t>The capability to point out particular failure of making and implementation of social</w:t>
            </w:r>
            <w:r w:rsidR="002D3639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policy</w:t>
            </w:r>
            <w:r w:rsidR="0036204B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in</w:t>
            </w:r>
            <w:r w:rsidR="007F310A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the</w:t>
            </w:r>
            <w:r w:rsidR="0036204B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era of globalization and also to propose the particular solutions.</w:t>
            </w:r>
          </w:p>
          <w:p w14:paraId="2A9818F5" w14:textId="77777777" w:rsidR="00BB3348" w:rsidRDefault="00BB3348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</w:p>
          <w:p w14:paraId="6F00EFB4" w14:textId="12502E0E" w:rsidR="00BB3348" w:rsidRPr="00BB3348" w:rsidRDefault="00BB3348" w:rsidP="00BB3348">
            <w:pPr>
              <w:jc w:val="both"/>
              <w:rPr>
                <w:rFonts w:ascii="Book Antiqua" w:hAnsi="Book Antiqua"/>
                <w:iCs/>
                <w:sz w:val="24"/>
                <w:szCs w:val="24"/>
              </w:rPr>
            </w:pPr>
            <w:r w:rsidRPr="00BB3348">
              <w:rPr>
                <w:rFonts w:ascii="Book Antiqua" w:hAnsi="Book Antiqua"/>
                <w:iCs/>
                <w:sz w:val="24"/>
                <w:szCs w:val="24"/>
              </w:rPr>
              <w:t xml:space="preserve">Teacher responsible: </w:t>
            </w:r>
            <w:r w:rsidR="005C6F1C" w:rsidRPr="005C6F1C">
              <w:rPr>
                <w:rFonts w:ascii="Book Antiqua" w:hAnsi="Book Antiqua"/>
                <w:iCs/>
                <w:sz w:val="24"/>
                <w:szCs w:val="24"/>
              </w:rPr>
              <w:t>Mgr. Ján Ruman, PhD.</w:t>
            </w:r>
          </w:p>
          <w:p w14:paraId="32B88180" w14:textId="1AA798A8" w:rsidR="00BB3348" w:rsidRPr="00257E72" w:rsidRDefault="00BB3348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</w:p>
        </w:tc>
      </w:tr>
      <w:tr w:rsidR="00646DA4" w:rsidRPr="00CC6657" w14:paraId="64EBD962" w14:textId="77777777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D8EA8BA" w14:textId="77777777" w:rsidR="00646DA4" w:rsidRPr="00323BBC" w:rsidRDefault="00646DA4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323BBC">
              <w:rPr>
                <w:rFonts w:ascii="Book Antiqua" w:hAnsi="Book Antiqua"/>
                <w:b/>
                <w:sz w:val="32"/>
                <w:szCs w:val="32"/>
                <w:lang w:val="en-US"/>
              </w:rPr>
              <w:t>Contents</w:t>
            </w:r>
          </w:p>
        </w:tc>
      </w:tr>
      <w:tr w:rsidR="00646DA4" w:rsidRPr="00CC6657" w14:paraId="534A2212" w14:textId="77777777" w:rsidTr="00BC1966">
        <w:trPr>
          <w:trHeight w:val="4109"/>
        </w:trPr>
        <w:tc>
          <w:tcPr>
            <w:tcW w:w="8476" w:type="dxa"/>
            <w:gridSpan w:val="4"/>
          </w:tcPr>
          <w:p w14:paraId="46FF8182" w14:textId="77777777" w:rsid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A09EA">
              <w:rPr>
                <w:rFonts w:ascii="Book Antiqua" w:hAnsi="Book Antiqua"/>
                <w:sz w:val="24"/>
                <w:szCs w:val="24"/>
                <w:lang w:val="en-US"/>
              </w:rPr>
              <w:t>Basic concepts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 w:rsidRPr="002A09EA"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</w:t>
            </w:r>
          </w:p>
          <w:p w14:paraId="53182A33" w14:textId="77777777" w:rsid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The participants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</w:t>
            </w:r>
          </w:p>
          <w:p w14:paraId="6117B56D" w14:textId="77777777" w:rsid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The types and models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</w:t>
            </w:r>
          </w:p>
          <w:p w14:paraId="6597FAB3" w14:textId="77777777" w:rsidR="002A09EA" w:rsidRP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The aims, principles, tools and functions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</w:t>
            </w:r>
          </w:p>
          <w:p w14:paraId="127998A5" w14:textId="77777777" w:rsid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The characterization of welfare state</w:t>
            </w:r>
          </w:p>
          <w:p w14:paraId="5DE1AFD5" w14:textId="77777777" w:rsid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Social rights and social events</w:t>
            </w:r>
          </w:p>
          <w:p w14:paraId="36235991" w14:textId="77777777" w:rsid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The history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</w:t>
            </w:r>
          </w:p>
          <w:p w14:paraId="052FEBB1" w14:textId="77777777" w:rsidR="002A09EA" w:rsidRDefault="002A09EA" w:rsidP="002A09E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The inner policies of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policy: education, employment, family, healthcare  </w:t>
            </w:r>
          </w:p>
          <w:p w14:paraId="1A719AE1" w14:textId="77777777" w:rsidR="002A09EA" w:rsidRPr="002A09EA" w:rsidRDefault="002A09EA" w:rsidP="002A09E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European union and social</w:t>
            </w:r>
            <w:r w:rsidR="002D3639">
              <w:rPr>
                <w:rFonts w:ascii="Book Antiqua" w:hAnsi="Book Antiqua"/>
                <w:sz w:val="24"/>
                <w:szCs w:val="24"/>
                <w:lang w:val="en-US"/>
              </w:rPr>
              <w:t xml:space="preserve"> welfare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policy</w:t>
            </w:r>
          </w:p>
          <w:p w14:paraId="134F5859" w14:textId="77777777" w:rsidR="002A09EA" w:rsidRDefault="002A09EA" w:rsidP="006400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Screening a film and discussion </w:t>
            </w:r>
          </w:p>
          <w:p w14:paraId="65FD010E" w14:textId="77777777" w:rsidR="00A777F9" w:rsidRDefault="002A09E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Creative reading </w:t>
            </w:r>
          </w:p>
          <w:p w14:paraId="361E752A" w14:textId="77777777" w:rsidR="00A777F9" w:rsidRDefault="00A777F9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4981A87F" w14:textId="77777777" w:rsidR="003E7623" w:rsidRDefault="003E7623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0E29DA9E" w14:textId="77777777" w:rsidR="003E7623" w:rsidRDefault="003E7623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76B4A800" w14:textId="77777777" w:rsidR="003E7623" w:rsidRDefault="003E7623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0B9E0895" w14:textId="77777777" w:rsidR="003E7623" w:rsidRDefault="003E7623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48BBE3EA" w14:textId="77777777" w:rsidR="003E7623" w:rsidRDefault="003E7623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6B237327" w14:textId="77777777" w:rsidR="003E7623" w:rsidRDefault="003E7623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4A0595A1" w14:textId="77777777" w:rsidR="003E7623" w:rsidRPr="00257E72" w:rsidRDefault="003E7623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46DA4" w:rsidRPr="00CC6657" w14:paraId="3D9E3FFD" w14:textId="77777777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E09EB8C" w14:textId="58D332D2" w:rsidR="00646DA4" w:rsidRPr="00323BBC" w:rsidRDefault="002C5AA0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>
              <w:rPr>
                <w:rFonts w:ascii="Book Antiqua" w:hAnsi="Book Antiqua"/>
                <w:b/>
                <w:sz w:val="32"/>
                <w:szCs w:val="32"/>
                <w:lang w:val="en-US"/>
              </w:rPr>
              <w:lastRenderedPageBreak/>
              <w:t>Assessment</w:t>
            </w:r>
          </w:p>
        </w:tc>
      </w:tr>
      <w:tr w:rsidR="00646DA4" w:rsidRPr="00CC6657" w14:paraId="05DACECB" w14:textId="77777777" w:rsidTr="00BC1966">
        <w:trPr>
          <w:trHeight w:val="1110"/>
        </w:trPr>
        <w:tc>
          <w:tcPr>
            <w:tcW w:w="8476" w:type="dxa"/>
            <w:gridSpan w:val="4"/>
          </w:tcPr>
          <w:p w14:paraId="39DF217C" w14:textId="3C1FBF82" w:rsidR="00646DA4" w:rsidRPr="00257E72" w:rsidRDefault="00616D37" w:rsidP="00646DA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5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pages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es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>say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– </w:t>
            </w:r>
            <w:r w:rsidR="00374A1C">
              <w:rPr>
                <w:rFonts w:ascii="Book Antiqua" w:hAnsi="Book Antiqua"/>
                <w:sz w:val="24"/>
                <w:szCs w:val="24"/>
                <w:lang w:val="en-US"/>
              </w:rPr>
              <w:t xml:space="preserve">100 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>%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of total assessment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>(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points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maximum 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>–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formal and content aspect</w:t>
            </w:r>
            <w:r w:rsidR="00E17335" w:rsidRPr="00257E72">
              <w:rPr>
                <w:rFonts w:ascii="Book Antiqua" w:hAnsi="Book Antiqua"/>
                <w:sz w:val="24"/>
                <w:szCs w:val="24"/>
                <w:lang w:val="en-US"/>
              </w:rPr>
              <w:t>s</w:t>
            </w:r>
            <w:r w:rsidR="00A777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 included</w:t>
            </w:r>
            <w:r w:rsidR="00646DA4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) </w:t>
            </w:r>
          </w:p>
          <w:p w14:paraId="7D3C8C43" w14:textId="77777777" w:rsidR="004E6CE9" w:rsidRPr="00257E72" w:rsidRDefault="004E6CE9" w:rsidP="004E6CE9">
            <w:pPr>
              <w:pStyle w:val="Odsekzoznamu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16DDEE56" w14:textId="77777777" w:rsidR="00646DA4" w:rsidRPr="00257E72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ab/>
              <w:t xml:space="preserve">...  100% - 91% </w:t>
            </w:r>
          </w:p>
          <w:p w14:paraId="5B0D26CB" w14:textId="77777777" w:rsidR="00646DA4" w:rsidRPr="00257E72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>B</w:t>
            </w: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ab/>
              <w:t>...  90% - 81%</w:t>
            </w:r>
          </w:p>
          <w:p w14:paraId="22961383" w14:textId="77777777" w:rsidR="00646DA4" w:rsidRPr="00257E72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ab/>
              <w:t xml:space="preserve">...  80% - 71% </w:t>
            </w:r>
          </w:p>
          <w:p w14:paraId="7277534A" w14:textId="77777777" w:rsidR="00646DA4" w:rsidRPr="00257E72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ab/>
              <w:t>...  70% - 61%</w:t>
            </w:r>
          </w:p>
          <w:p w14:paraId="66C341C1" w14:textId="77777777" w:rsidR="00646DA4" w:rsidRPr="00257E72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>E</w:t>
            </w: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ab/>
              <w:t>...  60% - 51%</w:t>
            </w:r>
          </w:p>
          <w:p w14:paraId="6BBE7D53" w14:textId="77777777" w:rsidR="00646DA4" w:rsidRPr="00257E72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>FX</w:t>
            </w:r>
            <w:r w:rsidRPr="00257E72">
              <w:rPr>
                <w:rFonts w:ascii="Book Antiqua" w:hAnsi="Book Antiqua"/>
                <w:sz w:val="24"/>
                <w:szCs w:val="24"/>
                <w:lang w:val="en-US"/>
              </w:rPr>
              <w:tab/>
              <w:t xml:space="preserve">...  50% </w:t>
            </w:r>
            <w:r w:rsidR="002866F9" w:rsidRPr="00257E72">
              <w:rPr>
                <w:rFonts w:ascii="Book Antiqua" w:hAnsi="Book Antiqua"/>
                <w:sz w:val="24"/>
                <w:szCs w:val="24"/>
                <w:lang w:val="en-US"/>
              </w:rPr>
              <w:t>and less</w:t>
            </w:r>
          </w:p>
        </w:tc>
      </w:tr>
      <w:tr w:rsidR="00646DA4" w:rsidRPr="00CC6657" w14:paraId="3643D17B" w14:textId="77777777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63BFC1E" w14:textId="77777777" w:rsidR="00646DA4" w:rsidRPr="00323BBC" w:rsidRDefault="00646DA4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323BBC">
              <w:rPr>
                <w:rFonts w:ascii="Book Antiqua" w:hAnsi="Book Antiqua"/>
                <w:b/>
                <w:sz w:val="32"/>
                <w:szCs w:val="32"/>
                <w:lang w:val="en-US"/>
              </w:rPr>
              <w:t>Bibliography</w:t>
            </w:r>
          </w:p>
        </w:tc>
      </w:tr>
      <w:tr w:rsidR="00646DA4" w:rsidRPr="00CC6657" w14:paraId="04AA0703" w14:textId="77777777" w:rsidTr="00BC1966">
        <w:trPr>
          <w:trHeight w:val="1003"/>
        </w:trPr>
        <w:tc>
          <w:tcPr>
            <w:tcW w:w="8476" w:type="dxa"/>
            <w:gridSpan w:val="4"/>
          </w:tcPr>
          <w:p w14:paraId="62C83991" w14:textId="77777777" w:rsidR="00646DA4" w:rsidRDefault="0063048A" w:rsidP="0063048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SEGAL</w:t>
            </w:r>
            <w:r w:rsidR="00B722F1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E</w:t>
            </w:r>
            <w:r w:rsidR="00B722F1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Social Welfare Policy and Social Programs: A Values Perspective</w:t>
            </w:r>
            <w:r w:rsidR="00320A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Boston</w:t>
            </w:r>
            <w:r w:rsidR="00320AF9" w:rsidRPr="00257E72">
              <w:rPr>
                <w:rFonts w:ascii="Book Antiqua" w:hAnsi="Book Antiqua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Cengage Learning</w:t>
            </w:r>
            <w:r w:rsidR="00320AF9" w:rsidRPr="00257E72">
              <w:rPr>
                <w:rFonts w:ascii="Book Antiqua" w:hAnsi="Book Antiqua"/>
                <w:sz w:val="24"/>
                <w:szCs w:val="24"/>
                <w:lang w:val="en-US"/>
              </w:rPr>
              <w:t>, 201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  <w:p w14:paraId="3655605E" w14:textId="77777777" w:rsidR="0063048A" w:rsidRDefault="0063048A" w:rsidP="0063048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DINNITO, D. M. – JOHNSON, D. W.: </w:t>
            </w:r>
            <w:r w:rsidRPr="00616EEF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Social Welfare: Politics and Public Policy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. Boston: Pearson, 2015</w:t>
            </w:r>
          </w:p>
          <w:p w14:paraId="045ED72F" w14:textId="77777777" w:rsidR="0063048A" w:rsidRDefault="0063048A" w:rsidP="0063048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GILBERT, N. – TERREL, P.: </w:t>
            </w:r>
            <w:r w:rsidRPr="00616EEF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Dimensions of Social Welfare Policy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. Boston: Pearson, 2012</w:t>
            </w:r>
          </w:p>
          <w:p w14:paraId="4571E22B" w14:textId="77777777" w:rsidR="0063048A" w:rsidRPr="0063048A" w:rsidRDefault="0063048A" w:rsidP="0063048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ROTHSTEIN, B. – STEINMO, S. (eds.): </w:t>
            </w:r>
            <w:r w:rsidRPr="0063048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616EEF">
                <w:rPr>
                  <w:rFonts w:ascii="Book Antiqua" w:hAnsi="Book Antiqua"/>
                  <w:i/>
                  <w:iCs/>
                  <w:sz w:val="24"/>
                  <w:szCs w:val="24"/>
                  <w:lang w:val="en-US"/>
                </w:rPr>
                <w:t>Restructuring the Welfare State: Political Institutions and Policy Change</w:t>
              </w:r>
            </w:hyperlink>
            <w:r>
              <w:rPr>
                <w:rFonts w:ascii="Book Antiqua" w:hAnsi="Book Antiqua"/>
                <w:sz w:val="24"/>
                <w:szCs w:val="24"/>
                <w:lang w:val="en-US"/>
              </w:rPr>
              <w:t>. New York: P</w:t>
            </w:r>
            <w:r w:rsidR="00616EEF"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lgrave Macmillan, 2002</w:t>
            </w:r>
          </w:p>
          <w:p w14:paraId="3CFE5906" w14:textId="77777777" w:rsidR="0063048A" w:rsidRPr="00616EEF" w:rsidRDefault="0063048A" w:rsidP="00616EEF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CERAMI, A. </w:t>
            </w:r>
            <w:r w:rsidR="00616EEF">
              <w:rPr>
                <w:rFonts w:ascii="Book Antiqua" w:hAnsi="Book Antiqua"/>
                <w:sz w:val="24"/>
                <w:szCs w:val="24"/>
                <w:lang w:val="en-US"/>
              </w:rPr>
              <w:t>–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616EEF">
              <w:rPr>
                <w:rFonts w:ascii="Book Antiqua" w:hAnsi="Book Antiqua"/>
                <w:sz w:val="24"/>
                <w:szCs w:val="24"/>
                <w:lang w:val="en-US"/>
              </w:rPr>
              <w:t xml:space="preserve">VANHUYSSE, P.: </w:t>
            </w:r>
            <w:r w:rsidR="00616EEF" w:rsidRPr="00616EEF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616EEF" w:rsidRPr="00616EEF">
                <w:rPr>
                  <w:rFonts w:ascii="Book Antiqua" w:hAnsi="Book Antiqua"/>
                  <w:i/>
                  <w:iCs/>
                  <w:sz w:val="24"/>
                  <w:szCs w:val="24"/>
                  <w:lang w:val="en-US"/>
                </w:rPr>
                <w:t>Post-Communist Welfare Pathways: Theorizing Social Policy Transformations in Central and Eastern Europe</w:t>
              </w:r>
              <w:r w:rsidR="00616EEF">
                <w:rPr>
                  <w:rFonts w:ascii="Book Antiqua" w:hAnsi="Book Antiqua"/>
                  <w:sz w:val="24"/>
                  <w:szCs w:val="24"/>
                  <w:lang w:val="en-US"/>
                </w:rPr>
                <w:t>. New York: Palgrave Macmillan, 2009</w:t>
              </w:r>
              <w:r w:rsidR="00616EEF" w:rsidRPr="00616EEF">
                <w:rPr>
                  <w:rFonts w:ascii="Book Antiqua" w:hAnsi="Book Antiqua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</w:tbl>
    <w:p w14:paraId="09DBAAAD" w14:textId="77777777" w:rsidR="00BC1966" w:rsidRPr="00CC6657" w:rsidRDefault="00BC1966">
      <w:pPr>
        <w:rPr>
          <w:lang w:val="en-US"/>
        </w:rPr>
      </w:pPr>
    </w:p>
    <w:p w14:paraId="4B2F653F" w14:textId="77777777" w:rsidR="006F1954" w:rsidRDefault="00BC1966">
      <w:r>
        <w:br w:type="textWrapping" w:clear="all"/>
      </w:r>
    </w:p>
    <w:sectPr w:rsidR="006F19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DA7B" w14:textId="77777777" w:rsidR="00123010" w:rsidRDefault="00123010" w:rsidP="00BC1966">
      <w:pPr>
        <w:spacing w:after="0" w:line="240" w:lineRule="auto"/>
      </w:pPr>
      <w:r>
        <w:separator/>
      </w:r>
    </w:p>
  </w:endnote>
  <w:endnote w:type="continuationSeparator" w:id="0">
    <w:p w14:paraId="33B03225" w14:textId="77777777" w:rsidR="00123010" w:rsidRDefault="00123010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646C" w14:textId="77777777" w:rsidR="00123010" w:rsidRDefault="00123010" w:rsidP="00BC1966">
      <w:pPr>
        <w:spacing w:after="0" w:line="240" w:lineRule="auto"/>
      </w:pPr>
      <w:r>
        <w:separator/>
      </w:r>
    </w:p>
  </w:footnote>
  <w:footnote w:type="continuationSeparator" w:id="0">
    <w:p w14:paraId="5584C031" w14:textId="77777777" w:rsidR="00123010" w:rsidRDefault="00123010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A59D" w14:textId="77777777" w:rsidR="00BC1966" w:rsidRDefault="00BC1966">
    <w:pPr>
      <w:pStyle w:val="Hlavika"/>
    </w:pPr>
  </w:p>
  <w:p w14:paraId="4AC86102" w14:textId="77777777" w:rsidR="00BC1966" w:rsidRDefault="00BC1966">
    <w:pPr>
      <w:pStyle w:val="Hlavika"/>
    </w:pPr>
  </w:p>
  <w:p w14:paraId="043E7600" w14:textId="77777777"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1068764" wp14:editId="6284C3B8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37C"/>
    <w:multiLevelType w:val="hybridMultilevel"/>
    <w:tmpl w:val="4D46E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096"/>
    <w:multiLevelType w:val="hybridMultilevel"/>
    <w:tmpl w:val="5B787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4895"/>
    <w:multiLevelType w:val="hybridMultilevel"/>
    <w:tmpl w:val="F69AF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5B4E"/>
    <w:multiLevelType w:val="hybridMultilevel"/>
    <w:tmpl w:val="FE2A1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66"/>
    <w:rsid w:val="00013481"/>
    <w:rsid w:val="001216C9"/>
    <w:rsid w:val="00123010"/>
    <w:rsid w:val="00152861"/>
    <w:rsid w:val="00257E72"/>
    <w:rsid w:val="002866F9"/>
    <w:rsid w:val="002A09EA"/>
    <w:rsid w:val="002C5AA0"/>
    <w:rsid w:val="002D3639"/>
    <w:rsid w:val="00320AF9"/>
    <w:rsid w:val="00323BBC"/>
    <w:rsid w:val="00330550"/>
    <w:rsid w:val="003549D4"/>
    <w:rsid w:val="0036204B"/>
    <w:rsid w:val="00374A1C"/>
    <w:rsid w:val="003C187A"/>
    <w:rsid w:val="003E7623"/>
    <w:rsid w:val="003F26D7"/>
    <w:rsid w:val="00415CC1"/>
    <w:rsid w:val="0047725F"/>
    <w:rsid w:val="004C35A9"/>
    <w:rsid w:val="004E6CE9"/>
    <w:rsid w:val="005012F1"/>
    <w:rsid w:val="005240B5"/>
    <w:rsid w:val="005751F0"/>
    <w:rsid w:val="005C6F1C"/>
    <w:rsid w:val="005C7FF4"/>
    <w:rsid w:val="005D1833"/>
    <w:rsid w:val="005D5595"/>
    <w:rsid w:val="00616D37"/>
    <w:rsid w:val="00616EEF"/>
    <w:rsid w:val="0063048A"/>
    <w:rsid w:val="006400AC"/>
    <w:rsid w:val="00646DA4"/>
    <w:rsid w:val="0067577D"/>
    <w:rsid w:val="00682DA0"/>
    <w:rsid w:val="006A5BD0"/>
    <w:rsid w:val="006F1954"/>
    <w:rsid w:val="0070278A"/>
    <w:rsid w:val="007A2C47"/>
    <w:rsid w:val="007B14E7"/>
    <w:rsid w:val="007E2306"/>
    <w:rsid w:val="007F310A"/>
    <w:rsid w:val="008107BE"/>
    <w:rsid w:val="008315DF"/>
    <w:rsid w:val="008848A2"/>
    <w:rsid w:val="00910EBC"/>
    <w:rsid w:val="00953C7B"/>
    <w:rsid w:val="00995AA0"/>
    <w:rsid w:val="009B4DF7"/>
    <w:rsid w:val="00A777F9"/>
    <w:rsid w:val="00B00B70"/>
    <w:rsid w:val="00B64163"/>
    <w:rsid w:val="00B722F1"/>
    <w:rsid w:val="00B86C6A"/>
    <w:rsid w:val="00BA354A"/>
    <w:rsid w:val="00BB238E"/>
    <w:rsid w:val="00BB3348"/>
    <w:rsid w:val="00BC1966"/>
    <w:rsid w:val="00C00BC8"/>
    <w:rsid w:val="00C72562"/>
    <w:rsid w:val="00CC6657"/>
    <w:rsid w:val="00CF19C4"/>
    <w:rsid w:val="00D05688"/>
    <w:rsid w:val="00DA42E0"/>
    <w:rsid w:val="00E17335"/>
    <w:rsid w:val="00E33FD7"/>
    <w:rsid w:val="00EC3C08"/>
    <w:rsid w:val="00EE6716"/>
    <w:rsid w:val="00F13B6C"/>
    <w:rsid w:val="00F22463"/>
    <w:rsid w:val="00F45A04"/>
    <w:rsid w:val="00F64C15"/>
    <w:rsid w:val="00F71060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2879B"/>
  <w15:chartTrackingRefBased/>
  <w15:docId w15:val="{EC970458-2AA5-4AE6-842E-EFCEAA5C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0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646DA4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A42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04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3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ok.cc/book/1197373/9179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-ok.cc/book/2939435/b3a5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Mgr. Tomáš Dvorský PhD.</cp:lastModifiedBy>
  <cp:revision>29</cp:revision>
  <dcterms:created xsi:type="dcterms:W3CDTF">2020-04-15T13:22:00Z</dcterms:created>
  <dcterms:modified xsi:type="dcterms:W3CDTF">2022-02-09T10:19:00Z</dcterms:modified>
</cp:coreProperties>
</file>