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RPr="00646DA4" w14:paraId="39F96811" w14:textId="77777777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D283154" w14:textId="77777777" w:rsidR="00BC1966" w:rsidRPr="00F25D3A" w:rsidRDefault="00BC1966" w:rsidP="00BC1966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F25D3A">
              <w:rPr>
                <w:rFonts w:ascii="Book Antiqua" w:hAnsi="Book Antiqua"/>
                <w:b/>
                <w:sz w:val="32"/>
                <w:szCs w:val="32"/>
                <w:lang w:val="en-US"/>
              </w:rPr>
              <w:t>General Information</w:t>
            </w:r>
          </w:p>
        </w:tc>
      </w:tr>
      <w:tr w:rsidR="00646DA4" w:rsidRPr="00646DA4" w14:paraId="65196165" w14:textId="77777777" w:rsidTr="00BC1966">
        <w:trPr>
          <w:trHeight w:val="501"/>
        </w:trPr>
        <w:tc>
          <w:tcPr>
            <w:tcW w:w="2118" w:type="dxa"/>
            <w:vMerge w:val="restart"/>
          </w:tcPr>
          <w:p w14:paraId="301A1417" w14:textId="7777777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F25D3A">
              <w:rPr>
                <w:rFonts w:ascii="Book Antiqua" w:hAnsi="Book Antiqua"/>
                <w:b/>
                <w:lang w:val="en-US"/>
              </w:rPr>
              <w:t>Course name</w:t>
            </w:r>
          </w:p>
          <w:p w14:paraId="73818DDE" w14:textId="7777777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980" w:type="dxa"/>
            <w:vMerge w:val="restart"/>
          </w:tcPr>
          <w:p w14:paraId="4C2C83D8" w14:textId="7777777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F25D3A">
              <w:rPr>
                <w:rFonts w:ascii="Book Antiqua" w:hAnsi="Book Antiqua"/>
                <w:b/>
                <w:lang w:val="en-US"/>
              </w:rPr>
              <w:t>KPO/OLPZS/10</w:t>
            </w:r>
            <w:r w:rsidRPr="00F25D3A">
              <w:rPr>
                <w:rFonts w:ascii="Book Antiqua" w:hAnsi="Book Antiqua"/>
                <w:b/>
                <w:lang w:val="en-US"/>
              </w:rPr>
              <w:tab/>
            </w:r>
          </w:p>
          <w:p w14:paraId="62CADB98" w14:textId="77777777" w:rsidR="007E2306" w:rsidRPr="00F25D3A" w:rsidRDefault="005751F0" w:rsidP="00646DA4">
            <w:pPr>
              <w:rPr>
                <w:rFonts w:ascii="Book Antiqua" w:hAnsi="Book Antiqua"/>
              </w:rPr>
            </w:pPr>
            <w:r w:rsidRPr="00F25D3A">
              <w:rPr>
                <w:rFonts w:ascii="Book Antiqua" w:hAnsi="Book Antiqua"/>
                <w:b/>
                <w:lang w:val="en-US"/>
              </w:rPr>
              <w:t xml:space="preserve">The protection of </w:t>
            </w:r>
            <w:r w:rsidR="007E2306" w:rsidRPr="00F25D3A">
              <w:rPr>
                <w:rFonts w:ascii="Book Antiqua" w:hAnsi="Book Antiqua"/>
                <w:b/>
                <w:lang w:val="en-US"/>
              </w:rPr>
              <w:t xml:space="preserve">Human Rights </w:t>
            </w:r>
            <w:r w:rsidRPr="00F25D3A">
              <w:rPr>
                <w:rFonts w:ascii="Book Antiqua" w:hAnsi="Book Antiqua"/>
                <w:b/>
                <w:lang w:val="en-US"/>
              </w:rPr>
              <w:t>and Fundamental Freedoms</w:t>
            </w:r>
          </w:p>
        </w:tc>
        <w:tc>
          <w:tcPr>
            <w:tcW w:w="1257" w:type="dxa"/>
          </w:tcPr>
          <w:p w14:paraId="1B57462A" w14:textId="7777777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F25D3A">
              <w:rPr>
                <w:rFonts w:ascii="Book Antiqua" w:hAnsi="Book Antiqua"/>
                <w:b/>
                <w:lang w:val="en-US"/>
              </w:rPr>
              <w:t>ECTS Credits</w:t>
            </w:r>
          </w:p>
        </w:tc>
        <w:tc>
          <w:tcPr>
            <w:tcW w:w="2121" w:type="dxa"/>
          </w:tcPr>
          <w:p w14:paraId="7E2B7AF7" w14:textId="7777777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F25D3A">
              <w:rPr>
                <w:rFonts w:ascii="Book Antiqua" w:hAnsi="Book Antiqua"/>
                <w:b/>
                <w:lang w:val="en-US"/>
              </w:rPr>
              <w:t>3</w:t>
            </w:r>
          </w:p>
        </w:tc>
      </w:tr>
      <w:tr w:rsidR="00646DA4" w:rsidRPr="00646DA4" w14:paraId="6D7C03F3" w14:textId="77777777" w:rsidTr="00BC1966">
        <w:trPr>
          <w:trHeight w:val="501"/>
        </w:trPr>
        <w:tc>
          <w:tcPr>
            <w:tcW w:w="2118" w:type="dxa"/>
            <w:vMerge/>
          </w:tcPr>
          <w:p w14:paraId="19BA4FB6" w14:textId="7777777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980" w:type="dxa"/>
            <w:vMerge/>
          </w:tcPr>
          <w:p w14:paraId="1B90C1CD" w14:textId="7777777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1257" w:type="dxa"/>
          </w:tcPr>
          <w:p w14:paraId="1B67904B" w14:textId="7777777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F25D3A">
              <w:rPr>
                <w:rFonts w:ascii="Book Antiqua" w:hAnsi="Book Antiqua"/>
                <w:b/>
                <w:lang w:val="en-US"/>
              </w:rPr>
              <w:t>Semester</w:t>
            </w:r>
          </w:p>
        </w:tc>
        <w:tc>
          <w:tcPr>
            <w:tcW w:w="2121" w:type="dxa"/>
          </w:tcPr>
          <w:p w14:paraId="6F175746" w14:textId="0561B827" w:rsidR="00646DA4" w:rsidRPr="00F25D3A" w:rsidRDefault="00646DA4" w:rsidP="00646DA4">
            <w:pPr>
              <w:rPr>
                <w:rFonts w:ascii="Book Antiqua" w:hAnsi="Book Antiqua"/>
                <w:b/>
                <w:lang w:val="en-US"/>
              </w:rPr>
            </w:pPr>
            <w:r w:rsidRPr="00F25D3A">
              <w:rPr>
                <w:rFonts w:ascii="Book Antiqua" w:hAnsi="Book Antiqua"/>
                <w:b/>
                <w:lang w:val="en-US"/>
              </w:rPr>
              <w:t>S</w:t>
            </w:r>
            <w:r w:rsidR="00781A36">
              <w:rPr>
                <w:rFonts w:ascii="Book Antiqua" w:hAnsi="Book Antiqua"/>
                <w:b/>
                <w:lang w:val="en-US"/>
              </w:rPr>
              <w:t>ummer</w:t>
            </w:r>
            <w:r w:rsidR="00A376F3">
              <w:rPr>
                <w:rFonts w:ascii="Book Antiqua" w:hAnsi="Book Antiqua"/>
                <w:b/>
                <w:lang w:val="en-US"/>
              </w:rPr>
              <w:t xml:space="preserve"> (BA)</w:t>
            </w:r>
          </w:p>
        </w:tc>
      </w:tr>
      <w:tr w:rsidR="00646DA4" w:rsidRPr="00646DA4" w14:paraId="116A3432" w14:textId="77777777" w:rsidTr="00BC1966">
        <w:trPr>
          <w:trHeight w:val="231"/>
        </w:trPr>
        <w:tc>
          <w:tcPr>
            <w:tcW w:w="8476" w:type="dxa"/>
            <w:gridSpan w:val="4"/>
          </w:tcPr>
          <w:p w14:paraId="49B0744B" w14:textId="77777777" w:rsidR="00646DA4" w:rsidRPr="00646DA4" w:rsidRDefault="00646DA4" w:rsidP="00646DA4">
            <w:pPr>
              <w:rPr>
                <w:lang w:val="en-US"/>
              </w:rPr>
            </w:pPr>
          </w:p>
        </w:tc>
      </w:tr>
      <w:tr w:rsidR="00646DA4" w:rsidRPr="00646DA4" w14:paraId="51F82135" w14:textId="77777777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2611890" w14:textId="070FE2E5" w:rsidR="00646DA4" w:rsidRPr="00F25D3A" w:rsidRDefault="00E13A48" w:rsidP="00646DA4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E13A48">
              <w:rPr>
                <w:rFonts w:ascii="Book Antiqua" w:hAnsi="Book Antiqua"/>
                <w:b/>
                <w:sz w:val="32"/>
                <w:szCs w:val="32"/>
                <w:lang w:val="en-US"/>
              </w:rPr>
              <w:t>Learning outcomes</w:t>
            </w:r>
          </w:p>
        </w:tc>
      </w:tr>
      <w:tr w:rsidR="00646DA4" w:rsidRPr="00CC6657" w14:paraId="3C382615" w14:textId="77777777" w:rsidTr="00BC1966">
        <w:trPr>
          <w:trHeight w:val="3670"/>
        </w:trPr>
        <w:tc>
          <w:tcPr>
            <w:tcW w:w="8476" w:type="dxa"/>
            <w:gridSpan w:val="4"/>
          </w:tcPr>
          <w:p w14:paraId="371EC060" w14:textId="77777777" w:rsidR="004C35A9" w:rsidRPr="004C35A9" w:rsidRDefault="004C35A9" w:rsidP="00646DA4">
            <w:pPr>
              <w:jc w:val="both"/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</w:pPr>
            <w:r w:rsidRPr="004C35A9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An</w:t>
            </w:r>
            <w:r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n</w:t>
            </w:r>
            <w:r w:rsidRPr="004C35A9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otation:</w:t>
            </w:r>
          </w:p>
          <w:p w14:paraId="31C6FFB6" w14:textId="77777777" w:rsidR="00013481" w:rsidRPr="00CC6657" w:rsidRDefault="00013481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The course offers theoretical and prescriptive </w:t>
            </w:r>
            <w:r w:rsidR="00CC6657">
              <w:rPr>
                <w:rFonts w:ascii="Book Antiqua" w:hAnsi="Book Antiqua"/>
                <w:sz w:val="24"/>
                <w:szCs w:val="24"/>
                <w:lang w:val="en-US"/>
              </w:rPr>
              <w:t>overview of human rights</w:t>
            </w:r>
            <w:r w:rsidR="003C187A">
              <w:rPr>
                <w:rFonts w:ascii="Book Antiqua" w:hAnsi="Book Antiqua"/>
                <w:sz w:val="24"/>
                <w:szCs w:val="24"/>
                <w:lang w:val="en-US"/>
              </w:rPr>
              <w:t xml:space="preserve"> protection</w:t>
            </w:r>
            <w:r w:rsid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including the historical development, characterization and current legal status. The course deals with the </w:t>
            </w:r>
            <w:r w:rsidR="005D5595">
              <w:rPr>
                <w:rFonts w:ascii="Book Antiqua" w:hAnsi="Book Antiqua"/>
                <w:sz w:val="24"/>
                <w:szCs w:val="24"/>
                <w:lang w:val="en-US"/>
              </w:rPr>
              <w:t>particular</w:t>
            </w:r>
            <w:r w:rsid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cases of adherence and violation of human rights</w:t>
            </w:r>
            <w:r w:rsidR="00330550">
              <w:rPr>
                <w:rFonts w:ascii="Book Antiqua" w:hAnsi="Book Antiqua"/>
                <w:sz w:val="24"/>
                <w:szCs w:val="24"/>
                <w:lang w:val="en-US"/>
              </w:rPr>
              <w:t xml:space="preserve"> and fundamental freedoms</w:t>
            </w:r>
            <w:r w:rsid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in the world and Slovakia as well. </w:t>
            </w:r>
            <w:r w:rsidR="003549D4">
              <w:rPr>
                <w:rFonts w:ascii="Book Antiqua" w:hAnsi="Book Antiqua"/>
                <w:sz w:val="24"/>
                <w:szCs w:val="24"/>
                <w:lang w:val="en-US"/>
              </w:rPr>
              <w:t>Through</w:t>
            </w:r>
            <w:r w:rsid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the interactive discussion it searches an appropriate solution of complex human rights</w:t>
            </w:r>
            <w:r w:rsidR="003C187A">
              <w:rPr>
                <w:rFonts w:ascii="Book Antiqua" w:hAnsi="Book Antiqua"/>
                <w:sz w:val="24"/>
                <w:szCs w:val="24"/>
                <w:lang w:val="en-US"/>
              </w:rPr>
              <w:t xml:space="preserve"> saturation</w:t>
            </w:r>
            <w:r w:rsid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.   </w:t>
            </w:r>
          </w:p>
          <w:p w14:paraId="3A4CC4FB" w14:textId="77777777" w:rsidR="00646DA4" w:rsidRPr="00CC6657" w:rsidRDefault="00646DA4" w:rsidP="00646DA4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en-US"/>
              </w:rPr>
            </w:pPr>
          </w:p>
          <w:p w14:paraId="2E2D9F2F" w14:textId="77777777" w:rsidR="00646DA4" w:rsidRDefault="005C7FF4" w:rsidP="00646DA4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Advancement of </w:t>
            </w:r>
            <w:r w:rsidR="003549D4">
              <w:rPr>
                <w:rFonts w:ascii="Book Antiqua" w:hAnsi="Book Antiqua"/>
                <w:i/>
                <w:sz w:val="24"/>
                <w:szCs w:val="24"/>
                <w:lang w:val="en-US"/>
              </w:rPr>
              <w:t>knowledge</w:t>
            </w: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:</w:t>
            </w:r>
          </w:p>
          <w:p w14:paraId="2740AB49" w14:textId="77777777" w:rsidR="005C7FF4" w:rsidRPr="003549D4" w:rsidRDefault="005C7FF4" w:rsidP="00646DA4">
            <w:pPr>
              <w:jc w:val="both"/>
              <w:rPr>
                <w:rFonts w:ascii="Book Antiqua" w:hAnsi="Book Antiqua"/>
                <w:iCs/>
                <w:sz w:val="24"/>
                <w:szCs w:val="24"/>
                <w:lang w:val="en-US"/>
              </w:rPr>
            </w:pPr>
            <w:r w:rsidRPr="003549D4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The </w:t>
            </w:r>
            <w:r w:rsidR="003549D4">
              <w:rPr>
                <w:rFonts w:ascii="Book Antiqua" w:hAnsi="Book Antiqua"/>
                <w:iCs/>
                <w:sz w:val="24"/>
                <w:szCs w:val="24"/>
                <w:lang w:val="en-US"/>
              </w:rPr>
              <w:t>knowledge</w:t>
            </w:r>
            <w:r w:rsidRPr="003549D4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of human </w:t>
            </w:r>
            <w:r w:rsidR="005012F1" w:rsidRPr="003549D4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rights and </w:t>
            </w:r>
            <w:r w:rsidR="005D5595">
              <w:rPr>
                <w:rFonts w:ascii="Book Antiqua" w:hAnsi="Book Antiqua"/>
                <w:iCs/>
                <w:sz w:val="24"/>
                <w:szCs w:val="24"/>
                <w:lang w:val="en-US"/>
              </w:rPr>
              <w:t>their</w:t>
            </w:r>
            <w:r w:rsidR="005012F1" w:rsidRPr="003549D4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theoretical and legal protective possibilities.</w:t>
            </w:r>
          </w:p>
          <w:p w14:paraId="76F7E7DB" w14:textId="77777777" w:rsidR="00646DA4" w:rsidRPr="00CC6657" w:rsidRDefault="00646DA4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1F86C2AF" w14:textId="77777777" w:rsidR="003549D4" w:rsidRDefault="003549D4" w:rsidP="00646DA4">
            <w:pPr>
              <w:jc w:val="both"/>
              <w:rPr>
                <w:rFonts w:ascii="Book Antiqua" w:hAnsi="Book Antiqua"/>
                <w:i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Advancement of </w:t>
            </w:r>
            <w:r w:rsidR="005D5595">
              <w:rPr>
                <w:rFonts w:ascii="Book Antiqua" w:hAnsi="Book Antiqua"/>
                <w:i/>
                <w:sz w:val="24"/>
                <w:szCs w:val="24"/>
                <w:lang w:val="en-US"/>
              </w:rPr>
              <w:t>capabilities and skills:</w:t>
            </w:r>
          </w:p>
          <w:p w14:paraId="6F2C1AB4" w14:textId="77777777" w:rsidR="00646DA4" w:rsidRDefault="005D5595" w:rsidP="00646DA4">
            <w:pPr>
              <w:jc w:val="both"/>
              <w:rPr>
                <w:rFonts w:ascii="Book Antiqua" w:hAnsi="Book Antiqua"/>
                <w:iCs/>
                <w:sz w:val="24"/>
                <w:szCs w:val="24"/>
                <w:lang w:val="en-US"/>
              </w:rPr>
            </w:pPr>
            <w:r w:rsidRPr="005D5595">
              <w:rPr>
                <w:rFonts w:ascii="Book Antiqua" w:hAnsi="Book Antiqua"/>
                <w:iCs/>
                <w:sz w:val="24"/>
                <w:szCs w:val="24"/>
                <w:lang w:val="en-US"/>
              </w:rPr>
              <w:t>A capability to point out particular failure</w:t>
            </w:r>
            <w:r>
              <w:rPr>
                <w:rFonts w:ascii="Book Antiqua" w:hAnsi="Book Antiqua"/>
                <w:iCs/>
                <w:sz w:val="24"/>
                <w:szCs w:val="24"/>
                <w:lang w:val="en-US"/>
              </w:rPr>
              <w:t>s</w:t>
            </w:r>
            <w:r w:rsidRPr="005D5595">
              <w:rPr>
                <w:rFonts w:ascii="Book Antiqua" w:hAnsi="Book Antiqua"/>
                <w:iCs/>
                <w:sz w:val="24"/>
                <w:szCs w:val="24"/>
                <w:lang w:val="en-US"/>
              </w:rPr>
              <w:t xml:space="preserve"> of adherence of human rights within institutional and individual case and capability to solve particular legal problems referred to the deficiency and violation of human rights</w:t>
            </w:r>
            <w:r w:rsidR="00D05688">
              <w:rPr>
                <w:rFonts w:ascii="Book Antiqua" w:hAnsi="Book Antiqua"/>
                <w:iCs/>
                <w:sz w:val="24"/>
                <w:szCs w:val="24"/>
                <w:lang w:val="en-US"/>
              </w:rPr>
              <w:t>.</w:t>
            </w:r>
          </w:p>
          <w:p w14:paraId="2588A285" w14:textId="77777777" w:rsidR="00825914" w:rsidRDefault="00825914" w:rsidP="00646DA4">
            <w:pPr>
              <w:jc w:val="both"/>
              <w:rPr>
                <w:rFonts w:ascii="Book Antiqua" w:hAnsi="Book Antiqua"/>
                <w:iCs/>
                <w:sz w:val="24"/>
                <w:szCs w:val="24"/>
                <w:lang w:val="en-US"/>
              </w:rPr>
            </w:pPr>
          </w:p>
          <w:p w14:paraId="05CF7DD2" w14:textId="54C9F43E" w:rsidR="00825914" w:rsidRPr="00825914" w:rsidRDefault="00825914" w:rsidP="00825914">
            <w:pPr>
              <w:jc w:val="both"/>
              <w:rPr>
                <w:rFonts w:ascii="Book Antiqua" w:hAnsi="Book Antiqua"/>
                <w:iCs/>
                <w:sz w:val="24"/>
                <w:szCs w:val="24"/>
              </w:rPr>
            </w:pPr>
            <w:r w:rsidRPr="00825914">
              <w:rPr>
                <w:rFonts w:ascii="Book Antiqua" w:hAnsi="Book Antiqua"/>
                <w:iCs/>
                <w:sz w:val="24"/>
                <w:szCs w:val="24"/>
              </w:rPr>
              <w:t xml:space="preserve">Teacher responsible: </w:t>
            </w:r>
            <w:r w:rsidR="00C5305C" w:rsidRPr="00C5305C">
              <w:rPr>
                <w:rFonts w:ascii="Book Antiqua" w:hAnsi="Book Antiqua"/>
                <w:iCs/>
                <w:sz w:val="24"/>
                <w:szCs w:val="24"/>
              </w:rPr>
              <w:t>Mgr. Ján Ruman, PhD.</w:t>
            </w:r>
          </w:p>
          <w:p w14:paraId="0FE76C73" w14:textId="0A096587" w:rsidR="00825914" w:rsidRPr="005D5595" w:rsidRDefault="00825914" w:rsidP="00646DA4">
            <w:pPr>
              <w:jc w:val="both"/>
              <w:rPr>
                <w:rFonts w:ascii="Book Antiqua" w:hAnsi="Book Antiqua"/>
                <w:iCs/>
                <w:sz w:val="24"/>
                <w:szCs w:val="24"/>
                <w:lang w:val="en-US"/>
              </w:rPr>
            </w:pPr>
          </w:p>
        </w:tc>
      </w:tr>
      <w:tr w:rsidR="00646DA4" w:rsidRPr="00CC6657" w14:paraId="6761F573" w14:textId="77777777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119D735" w14:textId="77777777" w:rsidR="00646DA4" w:rsidRPr="00F25D3A" w:rsidRDefault="00646DA4" w:rsidP="00646DA4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F25D3A">
              <w:rPr>
                <w:rFonts w:ascii="Book Antiqua" w:hAnsi="Book Antiqua"/>
                <w:b/>
                <w:sz w:val="32"/>
                <w:szCs w:val="32"/>
                <w:lang w:val="en-US"/>
              </w:rPr>
              <w:t>Contents</w:t>
            </w:r>
          </w:p>
        </w:tc>
      </w:tr>
      <w:tr w:rsidR="00646DA4" w:rsidRPr="00CC6657" w14:paraId="3225DE08" w14:textId="77777777" w:rsidTr="00BC1966">
        <w:trPr>
          <w:trHeight w:val="4109"/>
        </w:trPr>
        <w:tc>
          <w:tcPr>
            <w:tcW w:w="8476" w:type="dxa"/>
            <w:gridSpan w:val="4"/>
          </w:tcPr>
          <w:p w14:paraId="34123DE1" w14:textId="77777777" w:rsidR="004C35A9" w:rsidRDefault="008315DF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An explanation of terms, origin, characterization a categorization of human rights</w:t>
            </w:r>
            <w:r w:rsidR="00330550">
              <w:rPr>
                <w:rFonts w:ascii="Book Antiqua" w:hAnsi="Book Antiqua"/>
                <w:sz w:val="24"/>
                <w:szCs w:val="24"/>
                <w:lang w:val="en-US"/>
              </w:rPr>
              <w:t xml:space="preserve"> and fundamental freedoms</w:t>
            </w:r>
          </w:p>
          <w:p w14:paraId="3ADCB94E" w14:textId="77777777" w:rsidR="008315DF" w:rsidRDefault="003F26D7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A h</w:t>
            </w:r>
            <w:r w:rsidR="008315DF">
              <w:rPr>
                <w:rFonts w:ascii="Book Antiqua" w:hAnsi="Book Antiqua"/>
                <w:sz w:val="24"/>
                <w:szCs w:val="24"/>
                <w:lang w:val="en-US"/>
              </w:rPr>
              <w:t>istory of human right</w:t>
            </w:r>
            <w:r w:rsidR="003C187A">
              <w:rPr>
                <w:rFonts w:ascii="Book Antiqua" w:hAnsi="Book Antiqua"/>
                <w:sz w:val="24"/>
                <w:szCs w:val="24"/>
                <w:lang w:val="en-US"/>
              </w:rPr>
              <w:t>s</w:t>
            </w:r>
            <w:r w:rsidR="008315DF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  <w:p w14:paraId="40BDB3A3" w14:textId="77777777" w:rsidR="008315DF" w:rsidRDefault="003C187A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C</w:t>
            </w:r>
            <w:r w:rsidR="00C00BC8">
              <w:rPr>
                <w:rFonts w:ascii="Book Antiqua" w:hAnsi="Book Antiqua"/>
                <w:sz w:val="24"/>
                <w:szCs w:val="24"/>
                <w:lang w:val="en-US"/>
              </w:rPr>
              <w:t>urrent status of international human rights law</w:t>
            </w:r>
          </w:p>
          <w:p w14:paraId="48A146EF" w14:textId="77777777" w:rsidR="003C187A" w:rsidRDefault="003C187A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Universal systems of human rights protection</w:t>
            </w:r>
          </w:p>
          <w:p w14:paraId="6E2B2D0B" w14:textId="77777777" w:rsidR="003C187A" w:rsidRDefault="003C187A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Regional systems of human rights protection</w:t>
            </w:r>
          </w:p>
          <w:p w14:paraId="096BE042" w14:textId="77777777" w:rsidR="003C187A" w:rsidRDefault="003C187A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First generation of human rights – current legal status, violation, general system of protection</w:t>
            </w:r>
          </w:p>
          <w:p w14:paraId="0A86EEC4" w14:textId="77777777" w:rsidR="003C187A" w:rsidRDefault="003C187A" w:rsidP="003C18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Second generation of human rights – current legal status, violation, general system of protection</w:t>
            </w:r>
          </w:p>
          <w:p w14:paraId="75827DD0" w14:textId="77777777" w:rsidR="003C187A" w:rsidRDefault="003C187A" w:rsidP="003C187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Third generation of human rights – current legal status, violation, general system of protection</w:t>
            </w:r>
          </w:p>
          <w:p w14:paraId="2A217FA3" w14:textId="77777777" w:rsidR="003C187A" w:rsidRDefault="003C187A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The possibilities, proposals and solutions of complex human rights saturation</w:t>
            </w:r>
          </w:p>
          <w:p w14:paraId="622A596B" w14:textId="77777777" w:rsidR="003C187A" w:rsidRDefault="003C187A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Screening of a documentary film and discussion </w:t>
            </w:r>
          </w:p>
          <w:p w14:paraId="0DB54979" w14:textId="77777777" w:rsidR="003C187A" w:rsidRDefault="003C187A" w:rsidP="00646DA4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>Creative reading</w:t>
            </w:r>
          </w:p>
          <w:p w14:paraId="7ED05423" w14:textId="77777777" w:rsidR="00646DA4" w:rsidRDefault="00646DA4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1938B0DD" w14:textId="77777777" w:rsidR="00A777F9" w:rsidRDefault="00A777F9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2EE5C25D" w14:textId="77777777" w:rsidR="00A777F9" w:rsidRDefault="00A777F9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3F5E267A" w14:textId="77777777" w:rsidR="00A777F9" w:rsidRDefault="00A777F9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19F6F51B" w14:textId="77777777" w:rsidR="00A777F9" w:rsidRPr="00CC6657" w:rsidRDefault="00A777F9" w:rsidP="00646DA4">
            <w:pPr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</w:tc>
      </w:tr>
      <w:tr w:rsidR="00646DA4" w:rsidRPr="00CC6657" w14:paraId="7B17A1C8" w14:textId="77777777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1C3AED9" w14:textId="6D4FEEB0" w:rsidR="00646DA4" w:rsidRPr="00F25D3A" w:rsidRDefault="00E13A48" w:rsidP="00646DA4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>
              <w:rPr>
                <w:rFonts w:ascii="Book Antiqua" w:hAnsi="Book Antiqua"/>
                <w:b/>
                <w:sz w:val="32"/>
                <w:szCs w:val="32"/>
                <w:lang w:val="en-US"/>
              </w:rPr>
              <w:lastRenderedPageBreak/>
              <w:t>Assessment</w:t>
            </w:r>
          </w:p>
        </w:tc>
      </w:tr>
      <w:tr w:rsidR="00646DA4" w:rsidRPr="00CC6657" w14:paraId="16270C7F" w14:textId="77777777" w:rsidTr="00BC1966">
        <w:trPr>
          <w:trHeight w:val="1110"/>
        </w:trPr>
        <w:tc>
          <w:tcPr>
            <w:tcW w:w="8476" w:type="dxa"/>
            <w:gridSpan w:val="4"/>
          </w:tcPr>
          <w:p w14:paraId="0E97669B" w14:textId="4D06CAA5" w:rsidR="00646DA4" w:rsidRPr="00CC6657" w:rsidRDefault="00646DA4" w:rsidP="00646DA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3</w:t>
            </w:r>
            <w:r w:rsidR="00A777F9">
              <w:rPr>
                <w:rFonts w:ascii="Book Antiqua" w:hAnsi="Book Antiqua"/>
                <w:sz w:val="24"/>
                <w:szCs w:val="24"/>
                <w:lang w:val="en-US"/>
              </w:rPr>
              <w:t xml:space="preserve"> pages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es</w:t>
            </w:r>
            <w:r w:rsidR="00A777F9">
              <w:rPr>
                <w:rFonts w:ascii="Book Antiqua" w:hAnsi="Book Antiqua"/>
                <w:sz w:val="24"/>
                <w:szCs w:val="24"/>
                <w:lang w:val="en-US"/>
              </w:rPr>
              <w:t>say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– </w:t>
            </w:r>
            <w:r w:rsidR="00BA2BB2">
              <w:rPr>
                <w:rFonts w:ascii="Book Antiqua" w:hAnsi="Book Antiqua"/>
                <w:sz w:val="24"/>
                <w:szCs w:val="24"/>
                <w:lang w:val="en-US"/>
              </w:rPr>
              <w:t xml:space="preserve">100 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%</w:t>
            </w:r>
            <w:r w:rsidR="00A777F9">
              <w:rPr>
                <w:rFonts w:ascii="Book Antiqua" w:hAnsi="Book Antiqua"/>
                <w:sz w:val="24"/>
                <w:szCs w:val="24"/>
                <w:lang w:val="en-US"/>
              </w:rPr>
              <w:t xml:space="preserve"> of total assessment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777F9">
              <w:rPr>
                <w:rFonts w:ascii="Book Antiqua" w:hAnsi="Book Antiqua"/>
                <w:sz w:val="24"/>
                <w:szCs w:val="24"/>
                <w:lang w:val="en-US"/>
              </w:rPr>
              <w:t>(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10</w:t>
            </w:r>
            <w:r w:rsidR="00A777F9">
              <w:rPr>
                <w:rFonts w:ascii="Book Antiqua" w:hAnsi="Book Antiqua"/>
                <w:sz w:val="24"/>
                <w:szCs w:val="24"/>
                <w:lang w:val="en-US"/>
              </w:rPr>
              <w:t xml:space="preserve"> points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777F9">
              <w:rPr>
                <w:rFonts w:ascii="Book Antiqua" w:hAnsi="Book Antiqua"/>
                <w:sz w:val="24"/>
                <w:szCs w:val="24"/>
                <w:lang w:val="en-US"/>
              </w:rPr>
              <w:t xml:space="preserve">maximum 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–</w:t>
            </w:r>
            <w:r w:rsidR="00A777F9">
              <w:rPr>
                <w:rFonts w:ascii="Book Antiqua" w:hAnsi="Book Antiqua"/>
                <w:sz w:val="24"/>
                <w:szCs w:val="24"/>
                <w:lang w:val="en-US"/>
              </w:rPr>
              <w:t xml:space="preserve"> formal and content aspect</w:t>
            </w:r>
            <w:r w:rsidR="00E17335">
              <w:rPr>
                <w:rFonts w:ascii="Book Antiqua" w:hAnsi="Book Antiqua"/>
                <w:sz w:val="24"/>
                <w:szCs w:val="24"/>
                <w:lang w:val="en-US"/>
              </w:rPr>
              <w:t>s</w:t>
            </w:r>
            <w:r w:rsidR="00A777F9">
              <w:rPr>
                <w:rFonts w:ascii="Book Antiqua" w:hAnsi="Book Antiqua"/>
                <w:sz w:val="24"/>
                <w:szCs w:val="24"/>
                <w:lang w:val="en-US"/>
              </w:rPr>
              <w:t xml:space="preserve"> included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) </w:t>
            </w:r>
          </w:p>
          <w:p w14:paraId="6ABCA3CE" w14:textId="77777777" w:rsidR="00646DA4" w:rsidRPr="00CC6657" w:rsidRDefault="00646DA4" w:rsidP="00646DA4">
            <w:pPr>
              <w:pStyle w:val="Odsekzoznamu"/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14:paraId="61E50541" w14:textId="77777777" w:rsidR="00646DA4" w:rsidRPr="00CC6657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A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ab/>
              <w:t xml:space="preserve">...  100% - 91% </w:t>
            </w:r>
          </w:p>
          <w:p w14:paraId="2A076C46" w14:textId="77777777" w:rsidR="00646DA4" w:rsidRPr="00CC6657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B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ab/>
              <w:t>...  90% - 81%</w:t>
            </w:r>
          </w:p>
          <w:p w14:paraId="79D19537" w14:textId="77777777" w:rsidR="00646DA4" w:rsidRPr="00CC6657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C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ab/>
              <w:t xml:space="preserve">...  80% - 71% </w:t>
            </w:r>
          </w:p>
          <w:p w14:paraId="78564C5F" w14:textId="77777777" w:rsidR="00646DA4" w:rsidRPr="00CC6657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D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ab/>
              <w:t>...  70% - 61%</w:t>
            </w:r>
          </w:p>
          <w:p w14:paraId="21BCE036" w14:textId="77777777" w:rsidR="00646DA4" w:rsidRPr="00CC6657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E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ab/>
              <w:t>...  60% - 51%</w:t>
            </w:r>
          </w:p>
          <w:p w14:paraId="65F2294B" w14:textId="77777777" w:rsidR="00646DA4" w:rsidRPr="00CC6657" w:rsidRDefault="00646DA4" w:rsidP="00646DA4">
            <w:pPr>
              <w:ind w:firstLine="360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FX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ab/>
              <w:t xml:space="preserve">...  50% </w:t>
            </w:r>
            <w:r w:rsidR="002866F9">
              <w:rPr>
                <w:rFonts w:ascii="Book Antiqua" w:hAnsi="Book Antiqua"/>
                <w:sz w:val="24"/>
                <w:szCs w:val="24"/>
                <w:lang w:val="en-US"/>
              </w:rPr>
              <w:t>and less</w:t>
            </w:r>
          </w:p>
        </w:tc>
      </w:tr>
      <w:tr w:rsidR="00646DA4" w:rsidRPr="00CC6657" w14:paraId="5B334E33" w14:textId="77777777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3172D57" w14:textId="77777777" w:rsidR="00646DA4" w:rsidRPr="00F25D3A" w:rsidRDefault="00646DA4" w:rsidP="00646DA4">
            <w:pPr>
              <w:jc w:val="center"/>
              <w:rPr>
                <w:rFonts w:ascii="Book Antiqua" w:hAnsi="Book Antiqua"/>
                <w:b/>
                <w:sz w:val="32"/>
                <w:szCs w:val="32"/>
                <w:lang w:val="en-US"/>
              </w:rPr>
            </w:pPr>
            <w:r w:rsidRPr="00F25D3A">
              <w:rPr>
                <w:rFonts w:ascii="Book Antiqua" w:hAnsi="Book Antiqua"/>
                <w:b/>
                <w:sz w:val="32"/>
                <w:szCs w:val="32"/>
                <w:lang w:val="en-US"/>
              </w:rPr>
              <w:t>Bibliography</w:t>
            </w:r>
          </w:p>
        </w:tc>
      </w:tr>
      <w:tr w:rsidR="00646DA4" w:rsidRPr="00CC6657" w14:paraId="6085240A" w14:textId="77777777" w:rsidTr="00BC1966">
        <w:trPr>
          <w:trHeight w:val="1003"/>
        </w:trPr>
        <w:tc>
          <w:tcPr>
            <w:tcW w:w="8476" w:type="dxa"/>
            <w:gridSpan w:val="4"/>
          </w:tcPr>
          <w:p w14:paraId="5A4BF46F" w14:textId="77777777" w:rsidR="009B4DF7" w:rsidRDefault="00B722F1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WHEATLEY, S.: </w:t>
            </w:r>
            <w:r w:rsidR="00320AF9" w:rsidRPr="00DA42E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The Idea of International Human Rights Law</w:t>
            </w:r>
            <w:r w:rsidR="00320AF9">
              <w:rPr>
                <w:rFonts w:ascii="Book Antiqua" w:hAnsi="Book Antiqua"/>
                <w:sz w:val="24"/>
                <w:szCs w:val="24"/>
                <w:lang w:val="en-US"/>
              </w:rPr>
              <w:t>. Oxford: Oxford University Press, 2019</w:t>
            </w:r>
          </w:p>
          <w:p w14:paraId="2EED3478" w14:textId="77777777" w:rsidR="00320AF9" w:rsidRDefault="00320AF9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HUNT, L.: </w:t>
            </w:r>
            <w:r w:rsidRPr="00DA42E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Inventing Human Rights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. New York: W. W. Norton &amp; Co., 2007</w:t>
            </w:r>
          </w:p>
          <w:p w14:paraId="5D02B9E2" w14:textId="77777777" w:rsidR="00320AF9" w:rsidRDefault="00320AF9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ALSTON, P. – GOODMAN, R.: </w:t>
            </w:r>
            <w:r w:rsidRPr="00DA42E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International Human Rights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. Oxford: Oxford University Press, 2012</w:t>
            </w:r>
          </w:p>
          <w:p w14:paraId="4CA1E838" w14:textId="77777777" w:rsidR="00320AF9" w:rsidRDefault="00320AF9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WHITE, J.: </w:t>
            </w:r>
            <w:r w:rsidRPr="00DA42E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The Morals of the Market: Human Rights and the Rise of Neoliberalism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. London: Verso, 2019</w:t>
            </w:r>
          </w:p>
          <w:p w14:paraId="7A56935E" w14:textId="77777777" w:rsidR="00646DA4" w:rsidRDefault="00646DA4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EVANS, T.: </w:t>
            </w:r>
            <w:r w:rsidRPr="00CC6657">
              <w:rPr>
                <w:rFonts w:ascii="Book Antiqua" w:hAnsi="Book Antiqua"/>
                <w:i/>
                <w:sz w:val="24"/>
                <w:szCs w:val="24"/>
                <w:lang w:val="en-US"/>
              </w:rPr>
              <w:t>The Politics of Human Rights</w:t>
            </w:r>
            <w:r w:rsidRPr="00CC6657">
              <w:rPr>
                <w:rFonts w:ascii="Book Antiqua" w:hAnsi="Book Antiqua"/>
                <w:sz w:val="24"/>
                <w:szCs w:val="24"/>
                <w:lang w:val="en-US"/>
              </w:rPr>
              <w:t>. London: Pluto Press, 2001</w:t>
            </w:r>
          </w:p>
          <w:p w14:paraId="666073FC" w14:textId="77777777" w:rsidR="00DA42E0" w:rsidRDefault="00DA42E0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SHEERAN, S. – RODLEY, N.: </w:t>
            </w:r>
            <w:r w:rsidRPr="00DA42E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Routledge Handbook of International Human Rights Law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. Abingdon: Routledge, 2014</w:t>
            </w:r>
          </w:p>
          <w:p w14:paraId="1D4E67AF" w14:textId="77777777" w:rsidR="00DA42E0" w:rsidRPr="00DA42E0" w:rsidRDefault="00DA42E0" w:rsidP="00DA42E0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KUBE, V.: </w:t>
            </w:r>
            <w:r w:rsidRPr="00DA42E0">
              <w:rPr>
                <w:rFonts w:ascii="Book Antiqua" w:hAnsi="Book Antiqua"/>
                <w:sz w:val="24"/>
                <w:szCs w:val="24"/>
                <w:lang w:val="en-US"/>
              </w:rPr>
              <w:t xml:space="preserve"> EU </w:t>
            </w:r>
            <w:r w:rsidRPr="00DA42E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Human Rights, International Investment Law and Participation: Operationalizing </w:t>
            </w:r>
            <w:r w:rsidR="0033055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t</w:t>
            </w:r>
            <w:r w:rsidRPr="00DA42E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 xml:space="preserve">he EU Foreign Policy Objective </w:t>
            </w:r>
            <w:r w:rsidR="0033055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t</w:t>
            </w:r>
            <w:r w:rsidRPr="00DA42E0">
              <w:rPr>
                <w:rFonts w:ascii="Book Antiqua" w:hAnsi="Book Antiqua"/>
                <w:i/>
                <w:iCs/>
                <w:sz w:val="24"/>
                <w:szCs w:val="24"/>
                <w:lang w:val="en-US"/>
              </w:rPr>
              <w:t>o Global Human Rights Protection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. New York: Springer, 2019</w:t>
            </w:r>
          </w:p>
          <w:p w14:paraId="63EC75F2" w14:textId="77777777" w:rsidR="00646DA4" w:rsidRPr="00CC6657" w:rsidRDefault="009B4DF7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i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European Convention of Human Rights</w:t>
            </w:r>
          </w:p>
          <w:p w14:paraId="0175A8CC" w14:textId="77777777" w:rsidR="00646DA4" w:rsidRPr="00CC6657" w:rsidRDefault="009B4DF7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Charter of Fundamental Rights of the European Union</w:t>
            </w:r>
            <w:r w:rsidR="00646DA4" w:rsidRPr="00CC6657"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 (2012/C 326/02)</w:t>
            </w:r>
          </w:p>
          <w:p w14:paraId="19D95275" w14:textId="77777777" w:rsidR="00646DA4" w:rsidRPr="00CC6657" w:rsidRDefault="00910EBC" w:rsidP="00646DA4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Constitution of</w:t>
            </w:r>
            <w:r w:rsidR="00646DA4" w:rsidRPr="00CC6657"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 S</w:t>
            </w: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lovak </w:t>
            </w:r>
            <w:r w:rsidR="00646DA4" w:rsidRPr="00CC6657">
              <w:rPr>
                <w:rFonts w:ascii="Book Antiqua" w:hAnsi="Book Antiqua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epublic</w:t>
            </w:r>
            <w:r w:rsidR="00646DA4" w:rsidRPr="00CC6657">
              <w:rPr>
                <w:rFonts w:ascii="Book Antiqua" w:hAnsi="Book Antiqua"/>
                <w:i/>
                <w:sz w:val="24"/>
                <w:szCs w:val="24"/>
                <w:lang w:val="en-US"/>
              </w:rPr>
              <w:t xml:space="preserve"> </w:t>
            </w:r>
            <w:r w:rsidR="00BB238E">
              <w:rPr>
                <w:rFonts w:ascii="Book Antiqua" w:hAnsi="Book Antiqua"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Book Antiqua" w:hAnsi="Book Antiqua"/>
                <w:i/>
                <w:sz w:val="24"/>
                <w:szCs w:val="24"/>
                <w:lang w:val="en-US"/>
              </w:rPr>
              <w:t>č</w:t>
            </w:r>
            <w:r w:rsidR="00646DA4" w:rsidRPr="00CC6657">
              <w:rPr>
                <w:rFonts w:ascii="Book Antiqua" w:hAnsi="Book Antiqua"/>
                <w:i/>
                <w:sz w:val="24"/>
                <w:szCs w:val="24"/>
                <w:lang w:val="en-US"/>
              </w:rPr>
              <w:t>. 460/1992 Zb. v znení ústavného zákona č. 99/2019 Z. z.</w:t>
            </w:r>
            <w:r w:rsidR="00BB238E">
              <w:rPr>
                <w:rFonts w:ascii="Book Antiqua" w:hAnsi="Book Antiqua"/>
                <w:i/>
                <w:sz w:val="24"/>
                <w:szCs w:val="24"/>
                <w:lang w:val="en-US"/>
              </w:rPr>
              <w:t>)</w:t>
            </w:r>
            <w:r w:rsidR="00646DA4" w:rsidRPr="00CC6657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</w:p>
          <w:p w14:paraId="413D1CC2" w14:textId="77777777" w:rsidR="00646DA4" w:rsidRPr="00CC6657" w:rsidRDefault="00646DA4" w:rsidP="00646DA4">
            <w:pPr>
              <w:rPr>
                <w:lang w:val="en-US"/>
              </w:rPr>
            </w:pPr>
          </w:p>
        </w:tc>
      </w:tr>
    </w:tbl>
    <w:p w14:paraId="6EC488D1" w14:textId="77777777" w:rsidR="00BC1966" w:rsidRPr="00CC6657" w:rsidRDefault="00BC1966">
      <w:pPr>
        <w:rPr>
          <w:lang w:val="en-US"/>
        </w:rPr>
      </w:pPr>
    </w:p>
    <w:p w14:paraId="04C1BD6E" w14:textId="77777777"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A9FC" w14:textId="77777777" w:rsidR="00883195" w:rsidRDefault="00883195" w:rsidP="00BC1966">
      <w:pPr>
        <w:spacing w:after="0" w:line="240" w:lineRule="auto"/>
      </w:pPr>
      <w:r>
        <w:separator/>
      </w:r>
    </w:p>
  </w:endnote>
  <w:endnote w:type="continuationSeparator" w:id="0">
    <w:p w14:paraId="78339EBB" w14:textId="77777777" w:rsidR="00883195" w:rsidRDefault="00883195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4FA1" w14:textId="77777777" w:rsidR="00883195" w:rsidRDefault="00883195" w:rsidP="00BC1966">
      <w:pPr>
        <w:spacing w:after="0" w:line="240" w:lineRule="auto"/>
      </w:pPr>
      <w:r>
        <w:separator/>
      </w:r>
    </w:p>
  </w:footnote>
  <w:footnote w:type="continuationSeparator" w:id="0">
    <w:p w14:paraId="30B2E3E8" w14:textId="77777777" w:rsidR="00883195" w:rsidRDefault="00883195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BB960" w14:textId="77777777" w:rsidR="00BC1966" w:rsidRDefault="00BC1966">
    <w:pPr>
      <w:pStyle w:val="Hlavika"/>
    </w:pPr>
  </w:p>
  <w:p w14:paraId="1D537803" w14:textId="77777777" w:rsidR="00BC1966" w:rsidRDefault="00BC1966">
    <w:pPr>
      <w:pStyle w:val="Hlavika"/>
    </w:pPr>
  </w:p>
  <w:p w14:paraId="262FC04A" w14:textId="77777777"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B5B7119" wp14:editId="4E0E93A3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37C"/>
    <w:multiLevelType w:val="hybridMultilevel"/>
    <w:tmpl w:val="4D46EA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096"/>
    <w:multiLevelType w:val="hybridMultilevel"/>
    <w:tmpl w:val="5B787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4895"/>
    <w:multiLevelType w:val="hybridMultilevel"/>
    <w:tmpl w:val="F69AF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5B4E"/>
    <w:multiLevelType w:val="hybridMultilevel"/>
    <w:tmpl w:val="FE2A1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66"/>
    <w:rsid w:val="00013481"/>
    <w:rsid w:val="00152861"/>
    <w:rsid w:val="00171FC9"/>
    <w:rsid w:val="0019254B"/>
    <w:rsid w:val="002866F9"/>
    <w:rsid w:val="00320AF9"/>
    <w:rsid w:val="00330550"/>
    <w:rsid w:val="003549D4"/>
    <w:rsid w:val="003C187A"/>
    <w:rsid w:val="003F26D7"/>
    <w:rsid w:val="004C35A9"/>
    <w:rsid w:val="005012F1"/>
    <w:rsid w:val="005240B5"/>
    <w:rsid w:val="005751F0"/>
    <w:rsid w:val="005C7FF4"/>
    <w:rsid w:val="005D1833"/>
    <w:rsid w:val="005D5595"/>
    <w:rsid w:val="00646DA4"/>
    <w:rsid w:val="006F1954"/>
    <w:rsid w:val="0070278A"/>
    <w:rsid w:val="00720D05"/>
    <w:rsid w:val="00781A36"/>
    <w:rsid w:val="007B14E7"/>
    <w:rsid w:val="007E2306"/>
    <w:rsid w:val="00825914"/>
    <w:rsid w:val="008315DF"/>
    <w:rsid w:val="00883195"/>
    <w:rsid w:val="00910EBC"/>
    <w:rsid w:val="00995AA0"/>
    <w:rsid w:val="009B4DF7"/>
    <w:rsid w:val="00A376F3"/>
    <w:rsid w:val="00A65B5E"/>
    <w:rsid w:val="00A777F9"/>
    <w:rsid w:val="00B722F1"/>
    <w:rsid w:val="00B86C6A"/>
    <w:rsid w:val="00BA2BB2"/>
    <w:rsid w:val="00BA354A"/>
    <w:rsid w:val="00BB238E"/>
    <w:rsid w:val="00BC1966"/>
    <w:rsid w:val="00C00BC8"/>
    <w:rsid w:val="00C5305C"/>
    <w:rsid w:val="00CC6657"/>
    <w:rsid w:val="00D05688"/>
    <w:rsid w:val="00DA42E0"/>
    <w:rsid w:val="00E13A48"/>
    <w:rsid w:val="00E17335"/>
    <w:rsid w:val="00EC3C08"/>
    <w:rsid w:val="00F22463"/>
    <w:rsid w:val="00F25D3A"/>
    <w:rsid w:val="00F71060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B21D9"/>
  <w15:chartTrackingRefBased/>
  <w15:docId w15:val="{EC970458-2AA5-4AE6-842E-EFCEAA5C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A4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646DA4"/>
    <w:pPr>
      <w:spacing w:after="200" w:line="276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A42E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Mgr. Tomáš Dvorský PhD.</cp:lastModifiedBy>
  <cp:revision>40</cp:revision>
  <dcterms:created xsi:type="dcterms:W3CDTF">2020-02-05T08:52:00Z</dcterms:created>
  <dcterms:modified xsi:type="dcterms:W3CDTF">2022-02-09T10:19:00Z</dcterms:modified>
</cp:coreProperties>
</file>